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0CA4" w14:textId="248E48BA" w:rsidR="00AD735A" w:rsidRDefault="00AD735A" w:rsidP="009E3059">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536"/>
        <w:rPr>
          <w:rFonts w:ascii="Calibri Light" w:hAnsi="Calibri Light" w:cs="Calibri Light"/>
          <w:sz w:val="24"/>
          <w:szCs w:val="24"/>
          <w:lang w:val="et-EE"/>
        </w:rPr>
      </w:pPr>
      <w:bookmarkStart w:id="0" w:name="_Hlk56780743"/>
      <w:r>
        <w:rPr>
          <w:rFonts w:ascii="Calibri Light" w:hAnsi="Calibri Light" w:cs="Calibri Light"/>
          <w:sz w:val="24"/>
          <w:szCs w:val="24"/>
          <w:lang w:val="et-EE"/>
        </w:rPr>
        <w:t>Mitteametlik tõlge</w:t>
      </w:r>
    </w:p>
    <w:p w14:paraId="5D49BCBB" w14:textId="4216B1CE" w:rsidR="00A202FE" w:rsidRPr="00A202FE" w:rsidRDefault="00A202FE" w:rsidP="009E3059">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536"/>
        <w:rPr>
          <w:rFonts w:ascii="Calibri Light" w:hAnsi="Calibri Light" w:cs="Calibri Light"/>
          <w:sz w:val="24"/>
          <w:szCs w:val="24"/>
          <w:lang w:val="et-EE"/>
        </w:rPr>
      </w:pPr>
      <w:r w:rsidRPr="00A202FE">
        <w:rPr>
          <w:rFonts w:ascii="Calibri Light" w:hAnsi="Calibri Light" w:cs="Calibri Light"/>
          <w:sz w:val="24"/>
          <w:szCs w:val="24"/>
          <w:lang w:val="et-EE"/>
        </w:rPr>
        <w:t>KINNITATUD</w:t>
      </w:r>
    </w:p>
    <w:p w14:paraId="70DA37C2" w14:textId="7640F976" w:rsidR="00A202FE" w:rsidRPr="00A202FE" w:rsidRDefault="00A202FE" w:rsidP="009E3059">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536"/>
        <w:rPr>
          <w:rFonts w:ascii="Calibri Light" w:hAnsi="Calibri Light" w:cs="Calibri Light"/>
          <w:sz w:val="24"/>
          <w:szCs w:val="24"/>
          <w:lang w:val="et-EE"/>
        </w:rPr>
      </w:pPr>
      <w:r w:rsidRPr="00A202FE">
        <w:rPr>
          <w:rFonts w:ascii="Calibri Light" w:hAnsi="Calibri Light" w:cs="Calibri Light"/>
          <w:sz w:val="24"/>
          <w:szCs w:val="24"/>
          <w:lang w:val="et-EE"/>
        </w:rPr>
        <w:t xml:space="preserve">SA Eesti Teadusagentuuri juhatuse </w:t>
      </w:r>
      <w:r w:rsidR="009E3059">
        <w:rPr>
          <w:rFonts w:ascii="Calibri Light" w:hAnsi="Calibri Light" w:cs="Calibri Light"/>
          <w:sz w:val="24"/>
          <w:szCs w:val="24"/>
          <w:lang w:val="et-EE"/>
        </w:rPr>
        <w:t>24.05.</w:t>
      </w:r>
      <w:r w:rsidRPr="00A202FE">
        <w:rPr>
          <w:rFonts w:ascii="Calibri Light" w:hAnsi="Calibri Light" w:cs="Calibri Light"/>
          <w:sz w:val="24"/>
          <w:szCs w:val="24"/>
          <w:lang w:val="et-EE"/>
        </w:rPr>
        <w:t>2023</w:t>
      </w:r>
    </w:p>
    <w:p w14:paraId="5E2D00C9" w14:textId="633AB679" w:rsidR="00A202FE" w:rsidRDefault="00A202FE" w:rsidP="009E3059">
      <w:pPr>
        <w:pStyle w:val="Pealkiri1"/>
        <w:spacing w:before="0"/>
        <w:ind w:left="4536"/>
        <w:rPr>
          <w:rFonts w:eastAsia="Calibri"/>
          <w:b/>
          <w:bCs/>
          <w:color w:val="7030A0"/>
          <w:sz w:val="24"/>
          <w:szCs w:val="24"/>
          <w:lang w:val="et-EE"/>
        </w:rPr>
      </w:pPr>
      <w:r w:rsidRPr="00A202FE">
        <w:rPr>
          <w:rFonts w:ascii="Calibri Light" w:eastAsia="Times New Roman" w:hAnsi="Calibri Light" w:cs="Calibri Light"/>
          <w:color w:val="auto"/>
          <w:sz w:val="24"/>
          <w:szCs w:val="24"/>
          <w:lang w:val="et-EE"/>
        </w:rPr>
        <w:t xml:space="preserve">käskkirjaga nr </w:t>
      </w:r>
      <w:bookmarkEnd w:id="0"/>
      <w:r w:rsidR="009E3059">
        <w:rPr>
          <w:rFonts w:ascii="Calibri Light" w:eastAsia="Times New Roman" w:hAnsi="Calibri Light" w:cs="Calibri Light"/>
          <w:color w:val="auto"/>
          <w:sz w:val="24"/>
          <w:szCs w:val="24"/>
          <w:lang w:val="et-EE"/>
        </w:rPr>
        <w:t>1.1-4/23/91</w:t>
      </w:r>
    </w:p>
    <w:p w14:paraId="3E690733" w14:textId="77777777" w:rsidR="00A202FE" w:rsidRDefault="00A202FE" w:rsidP="00A202FE">
      <w:pPr>
        <w:pStyle w:val="Pealkiri1"/>
        <w:jc w:val="right"/>
        <w:rPr>
          <w:rFonts w:eastAsia="Calibri"/>
          <w:b/>
          <w:bCs/>
          <w:color w:val="7030A0"/>
          <w:sz w:val="24"/>
          <w:szCs w:val="24"/>
          <w:lang w:val="et-EE"/>
        </w:rPr>
      </w:pPr>
    </w:p>
    <w:p w14:paraId="482BC8D1" w14:textId="2D3AA8C3" w:rsidR="00C27F38" w:rsidRPr="00A202FE" w:rsidRDefault="00C26AD6" w:rsidP="00A202FE">
      <w:pPr>
        <w:pStyle w:val="Pealkiri1"/>
        <w:jc w:val="right"/>
        <w:rPr>
          <w:rFonts w:eastAsia="Calibri"/>
          <w:b/>
          <w:bCs/>
          <w:color w:val="7030A0"/>
          <w:sz w:val="24"/>
          <w:szCs w:val="24"/>
          <w:lang w:val="et-EE"/>
        </w:rPr>
      </w:pPr>
      <w:r w:rsidRPr="00A202FE">
        <w:rPr>
          <w:rFonts w:eastAsia="Calibri"/>
          <w:b/>
          <w:bCs/>
          <w:color w:val="7030A0"/>
          <w:sz w:val="24"/>
          <w:szCs w:val="24"/>
          <w:lang w:val="et-EE"/>
        </w:rPr>
        <w:t xml:space="preserve">Vastavusnõuded </w:t>
      </w:r>
      <w:r w:rsidR="00C27F38" w:rsidRPr="00A202FE">
        <w:rPr>
          <w:rFonts w:eastAsia="Calibri"/>
          <w:b/>
          <w:bCs/>
          <w:color w:val="7030A0"/>
          <w:sz w:val="24"/>
          <w:szCs w:val="24"/>
          <w:lang w:val="et-EE"/>
        </w:rPr>
        <w:t xml:space="preserve">toetuse taotlejatele </w:t>
      </w:r>
      <w:r w:rsidRPr="00A202FE">
        <w:rPr>
          <w:rFonts w:eastAsia="Calibri"/>
          <w:b/>
          <w:bCs/>
          <w:color w:val="7030A0"/>
          <w:sz w:val="24"/>
          <w:szCs w:val="24"/>
          <w:lang w:val="et-EE"/>
        </w:rPr>
        <w:t xml:space="preserve">rahvusvahelistel </w:t>
      </w:r>
      <w:proofErr w:type="spellStart"/>
      <w:r w:rsidRPr="00A202FE">
        <w:rPr>
          <w:rFonts w:eastAsia="Calibri"/>
          <w:b/>
          <w:bCs/>
          <w:i/>
          <w:iCs/>
          <w:color w:val="7030A0"/>
          <w:sz w:val="24"/>
          <w:szCs w:val="24"/>
          <w:lang w:val="et-EE"/>
        </w:rPr>
        <w:t>Dear</w:t>
      </w:r>
      <w:proofErr w:type="spellEnd"/>
      <w:r w:rsidRPr="00A202FE">
        <w:rPr>
          <w:rFonts w:eastAsia="Calibri"/>
          <w:b/>
          <w:bCs/>
          <w:i/>
          <w:iCs/>
          <w:color w:val="7030A0"/>
          <w:sz w:val="24"/>
          <w:szCs w:val="24"/>
          <w:lang w:val="et-EE"/>
        </w:rPr>
        <w:t xml:space="preserve"> </w:t>
      </w:r>
      <w:proofErr w:type="spellStart"/>
      <w:r w:rsidRPr="00A202FE">
        <w:rPr>
          <w:rFonts w:eastAsia="Calibri"/>
          <w:b/>
          <w:bCs/>
          <w:i/>
          <w:iCs/>
          <w:color w:val="7030A0"/>
          <w:sz w:val="24"/>
          <w:szCs w:val="24"/>
          <w:lang w:val="et-EE"/>
        </w:rPr>
        <w:t>Colleague</w:t>
      </w:r>
      <w:proofErr w:type="spellEnd"/>
      <w:r w:rsidRPr="00A202FE">
        <w:rPr>
          <w:rFonts w:eastAsia="Calibri"/>
          <w:b/>
          <w:bCs/>
          <w:i/>
          <w:iCs/>
          <w:color w:val="7030A0"/>
          <w:sz w:val="24"/>
          <w:szCs w:val="24"/>
          <w:lang w:val="et-EE"/>
        </w:rPr>
        <w:t xml:space="preserve"> Letter</w:t>
      </w:r>
      <w:r w:rsidRPr="00A202FE">
        <w:rPr>
          <w:rFonts w:eastAsia="Calibri"/>
          <w:b/>
          <w:bCs/>
          <w:color w:val="7030A0"/>
          <w:sz w:val="24"/>
          <w:szCs w:val="24"/>
          <w:lang w:val="et-EE"/>
        </w:rPr>
        <w:t xml:space="preserve"> </w:t>
      </w:r>
      <w:proofErr w:type="spellStart"/>
      <w:r w:rsidRPr="00A202FE">
        <w:rPr>
          <w:rFonts w:eastAsia="Calibri"/>
          <w:b/>
          <w:bCs/>
          <w:color w:val="7030A0"/>
          <w:sz w:val="24"/>
          <w:szCs w:val="24"/>
          <w:lang w:val="et-EE"/>
        </w:rPr>
        <w:t>ühiskonkurssidel</w:t>
      </w:r>
      <w:proofErr w:type="spellEnd"/>
      <w:r w:rsidR="00A202FE">
        <w:rPr>
          <w:rFonts w:eastAsia="Calibri"/>
          <w:b/>
          <w:bCs/>
          <w:color w:val="7030A0"/>
          <w:sz w:val="24"/>
          <w:szCs w:val="24"/>
          <w:lang w:val="et-EE"/>
        </w:rPr>
        <w:t>:</w:t>
      </w:r>
    </w:p>
    <w:p w14:paraId="663C0E5F" w14:textId="07D56D47" w:rsidR="00A202FE" w:rsidRPr="00A202FE" w:rsidRDefault="00A202FE" w:rsidP="00A202FE">
      <w:pPr>
        <w:pStyle w:val="Pealkiri1"/>
        <w:jc w:val="center"/>
        <w:rPr>
          <w:rFonts w:cstheme="majorHAnsi"/>
          <w:b/>
          <w:bCs/>
          <w:color w:val="auto"/>
          <w:sz w:val="24"/>
          <w:szCs w:val="24"/>
          <w:lang w:val="et-EE"/>
        </w:rPr>
      </w:pPr>
      <w:r w:rsidRPr="00A202FE">
        <w:rPr>
          <w:rFonts w:cstheme="majorHAnsi"/>
          <w:b/>
          <w:bCs/>
          <w:color w:val="auto"/>
          <w:sz w:val="24"/>
          <w:szCs w:val="24"/>
          <w:lang w:val="et-EE"/>
        </w:rPr>
        <w:t>Kestliku rahvusvahelise koostöö poole. Ukraina teadlaste integreerimine üleilmsesse teadusringkonda (</w:t>
      </w:r>
      <w:r w:rsidRPr="00A202FE">
        <w:rPr>
          <w:rFonts w:cstheme="majorHAnsi"/>
          <w:b/>
          <w:bCs/>
          <w:i/>
          <w:iCs/>
          <w:color w:val="auto"/>
          <w:sz w:val="24"/>
          <w:szCs w:val="24"/>
          <w:lang w:val="et-EE"/>
        </w:rPr>
        <w:t>IMPRESS-U</w:t>
      </w:r>
      <w:r w:rsidRPr="00A202FE">
        <w:rPr>
          <w:rFonts w:cstheme="majorHAnsi"/>
          <w:b/>
          <w:bCs/>
          <w:color w:val="auto"/>
          <w:sz w:val="24"/>
          <w:szCs w:val="24"/>
          <w:lang w:val="et-EE"/>
        </w:rPr>
        <w:t>)</w:t>
      </w:r>
    </w:p>
    <w:p w14:paraId="54D6CD65" w14:textId="4507E108" w:rsidR="00C27F38" w:rsidRPr="00A202FE" w:rsidRDefault="00C26AD6" w:rsidP="00C27F38">
      <w:pPr>
        <w:pStyle w:val="Pealkiri1"/>
        <w:jc w:val="center"/>
        <w:rPr>
          <w:rFonts w:cstheme="majorHAnsi"/>
          <w:b/>
          <w:bCs/>
          <w:i/>
          <w:iCs/>
          <w:color w:val="auto"/>
          <w:sz w:val="24"/>
          <w:szCs w:val="24"/>
        </w:rPr>
      </w:pPr>
      <w:r w:rsidRPr="00A202FE">
        <w:rPr>
          <w:rFonts w:cstheme="majorHAnsi"/>
          <w:b/>
          <w:bCs/>
          <w:i/>
          <w:iCs/>
          <w:color w:val="auto"/>
          <w:sz w:val="24"/>
          <w:szCs w:val="24"/>
        </w:rPr>
        <w:t>Towards Resilient International Collaborations.</w:t>
      </w:r>
      <w:r w:rsidR="00C27F38" w:rsidRPr="00A202FE">
        <w:rPr>
          <w:rFonts w:cstheme="majorHAnsi"/>
          <w:b/>
          <w:bCs/>
          <w:i/>
          <w:iCs/>
          <w:color w:val="auto"/>
          <w:sz w:val="24"/>
          <w:szCs w:val="24"/>
        </w:rPr>
        <w:t xml:space="preserve"> </w:t>
      </w:r>
      <w:r w:rsidRPr="00A202FE">
        <w:rPr>
          <w:rFonts w:cstheme="majorHAnsi"/>
          <w:b/>
          <w:bCs/>
          <w:i/>
          <w:iCs/>
          <w:color w:val="auto"/>
          <w:sz w:val="24"/>
          <w:szCs w:val="24"/>
        </w:rPr>
        <w:t>Integration of Ukrainian Researchers into Global Research Community (IMPRESS-U)</w:t>
      </w:r>
      <w:r w:rsidR="00C27F38" w:rsidRPr="00A202FE">
        <w:rPr>
          <w:rFonts w:cstheme="majorHAnsi"/>
          <w:b/>
          <w:bCs/>
          <w:i/>
          <w:iCs/>
          <w:color w:val="auto"/>
          <w:sz w:val="24"/>
          <w:szCs w:val="24"/>
        </w:rPr>
        <w:t xml:space="preserve"> </w:t>
      </w:r>
    </w:p>
    <w:p w14:paraId="71FDB5F7" w14:textId="77777777" w:rsidR="00A202FE" w:rsidRDefault="00A202FE"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p>
    <w:p w14:paraId="169C45DC" w14:textId="21CDDF56" w:rsidR="00C26AD6" w:rsidRPr="001D4828"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1D4828">
        <w:rPr>
          <w:rFonts w:asciiTheme="majorHAnsi" w:hAnsiTheme="majorHAnsi" w:cstheme="majorHAnsi"/>
          <w:sz w:val="24"/>
          <w:szCs w:val="24"/>
          <w:lang w:val="et-EE"/>
        </w:rPr>
        <w:t xml:space="preserve">Käesolevad vastavusnõuded on </w:t>
      </w:r>
      <w:r>
        <w:rPr>
          <w:rFonts w:asciiTheme="majorHAnsi" w:hAnsiTheme="majorHAnsi" w:cstheme="majorHAnsi"/>
          <w:sz w:val="24"/>
          <w:szCs w:val="24"/>
          <w:lang w:val="et-EE"/>
        </w:rPr>
        <w:t xml:space="preserve">suunatud </w:t>
      </w:r>
      <w:r w:rsidRPr="001D4828">
        <w:rPr>
          <w:rFonts w:asciiTheme="majorHAnsi" w:hAnsiTheme="majorHAnsi" w:cstheme="majorHAnsi"/>
          <w:sz w:val="24"/>
          <w:szCs w:val="24"/>
          <w:lang w:val="et-EE"/>
        </w:rPr>
        <w:t xml:space="preserve">Eesti </w:t>
      </w:r>
      <w:r>
        <w:rPr>
          <w:rFonts w:asciiTheme="majorHAnsi" w:hAnsiTheme="majorHAnsi" w:cstheme="majorHAnsi"/>
          <w:sz w:val="24"/>
          <w:szCs w:val="24"/>
          <w:lang w:val="et-EE"/>
        </w:rPr>
        <w:t>taotlejatele</w:t>
      </w:r>
      <w:r w:rsidRPr="001D4828">
        <w:rPr>
          <w:rFonts w:asciiTheme="majorHAnsi" w:hAnsiTheme="majorHAnsi" w:cstheme="majorHAnsi"/>
          <w:sz w:val="24"/>
          <w:szCs w:val="24"/>
          <w:lang w:val="et-EE"/>
        </w:rPr>
        <w:t>, kes soovivad osaleda rahvusvaheliste</w:t>
      </w:r>
      <w:r>
        <w:rPr>
          <w:rFonts w:asciiTheme="majorHAnsi" w:hAnsiTheme="majorHAnsi" w:cstheme="majorHAnsi"/>
          <w:sz w:val="24"/>
          <w:szCs w:val="24"/>
          <w:lang w:val="et-EE"/>
        </w:rPr>
        <w:t>l</w:t>
      </w:r>
      <w:r w:rsidRPr="001D4828">
        <w:rPr>
          <w:rFonts w:asciiTheme="majorHAnsi" w:hAnsiTheme="majorHAnsi" w:cstheme="majorHAnsi"/>
          <w:sz w:val="24"/>
          <w:szCs w:val="24"/>
          <w:lang w:val="et-EE"/>
        </w:rPr>
        <w:t xml:space="preserve"> </w:t>
      </w:r>
      <w:proofErr w:type="spellStart"/>
      <w:r w:rsidRPr="00157033">
        <w:rPr>
          <w:rFonts w:asciiTheme="majorHAnsi" w:hAnsiTheme="majorHAnsi" w:cstheme="majorHAnsi"/>
          <w:i/>
          <w:iCs/>
          <w:sz w:val="24"/>
          <w:szCs w:val="24"/>
          <w:lang w:val="et-EE"/>
        </w:rPr>
        <w:t>Dear</w:t>
      </w:r>
      <w:proofErr w:type="spellEnd"/>
      <w:r w:rsidRPr="00157033">
        <w:rPr>
          <w:rFonts w:asciiTheme="majorHAnsi" w:hAnsiTheme="majorHAnsi" w:cstheme="majorHAnsi"/>
          <w:i/>
          <w:iCs/>
          <w:sz w:val="24"/>
          <w:szCs w:val="24"/>
          <w:lang w:val="et-EE"/>
        </w:rPr>
        <w:t xml:space="preserve"> </w:t>
      </w:r>
      <w:proofErr w:type="spellStart"/>
      <w:r w:rsidRPr="00157033">
        <w:rPr>
          <w:rFonts w:asciiTheme="majorHAnsi" w:hAnsiTheme="majorHAnsi" w:cstheme="majorHAnsi"/>
          <w:i/>
          <w:iCs/>
          <w:sz w:val="24"/>
          <w:szCs w:val="24"/>
          <w:lang w:val="et-EE"/>
        </w:rPr>
        <w:t>Colleague</w:t>
      </w:r>
      <w:proofErr w:type="spellEnd"/>
      <w:r w:rsidRPr="00157033">
        <w:rPr>
          <w:rFonts w:asciiTheme="majorHAnsi" w:hAnsiTheme="majorHAnsi" w:cstheme="majorHAnsi"/>
          <w:i/>
          <w:iCs/>
          <w:sz w:val="24"/>
          <w:szCs w:val="24"/>
          <w:lang w:val="et-EE"/>
        </w:rPr>
        <w:t xml:space="preserve"> Letter</w:t>
      </w:r>
      <w:r>
        <w:rPr>
          <w:rFonts w:asciiTheme="majorHAnsi" w:hAnsiTheme="majorHAnsi" w:cstheme="majorHAnsi"/>
          <w:sz w:val="24"/>
          <w:szCs w:val="24"/>
          <w:lang w:val="et-EE"/>
        </w:rPr>
        <w:t xml:space="preserve"> (DCL) </w:t>
      </w:r>
      <w:proofErr w:type="spellStart"/>
      <w:r>
        <w:rPr>
          <w:rFonts w:asciiTheme="majorHAnsi" w:hAnsiTheme="majorHAnsi" w:cstheme="majorHAnsi"/>
          <w:sz w:val="24"/>
          <w:szCs w:val="24"/>
          <w:lang w:val="et-EE"/>
        </w:rPr>
        <w:t>ühiskonkurssi</w:t>
      </w:r>
      <w:r w:rsidRPr="001D4828">
        <w:rPr>
          <w:rFonts w:asciiTheme="majorHAnsi" w:hAnsiTheme="majorHAnsi" w:cstheme="majorHAnsi"/>
          <w:sz w:val="24"/>
          <w:szCs w:val="24"/>
          <w:lang w:val="et-EE"/>
        </w:rPr>
        <w:t>de</w:t>
      </w:r>
      <w:r>
        <w:rPr>
          <w:rFonts w:asciiTheme="majorHAnsi" w:hAnsiTheme="majorHAnsi" w:cstheme="majorHAnsi"/>
          <w:sz w:val="24"/>
          <w:szCs w:val="24"/>
          <w:lang w:val="et-EE"/>
        </w:rPr>
        <w:t>l</w:t>
      </w:r>
      <w:proofErr w:type="spellEnd"/>
      <w:r w:rsidRPr="001D4828">
        <w:rPr>
          <w:rFonts w:asciiTheme="majorHAnsi" w:hAnsiTheme="majorHAnsi" w:cstheme="majorHAnsi"/>
          <w:sz w:val="24"/>
          <w:szCs w:val="24"/>
          <w:lang w:val="et-EE"/>
        </w:rPr>
        <w:t xml:space="preserve">. </w:t>
      </w:r>
      <w:r>
        <w:rPr>
          <w:rFonts w:asciiTheme="majorHAnsi" w:hAnsiTheme="majorHAnsi" w:cstheme="majorHAnsi"/>
          <w:sz w:val="24"/>
          <w:szCs w:val="24"/>
          <w:lang w:val="et-EE"/>
        </w:rPr>
        <w:t>Projekti hakkab ellu viima konsortsium, mis koosneb eri riikide töörühmadest (partneritest).</w:t>
      </w:r>
      <w:r w:rsidRPr="001D4828">
        <w:rPr>
          <w:rFonts w:asciiTheme="majorHAnsi" w:hAnsiTheme="majorHAnsi" w:cstheme="majorHAnsi"/>
          <w:sz w:val="24"/>
          <w:szCs w:val="24"/>
          <w:lang w:val="et-EE"/>
        </w:rPr>
        <w:t xml:space="preserve"> </w:t>
      </w:r>
      <w:r>
        <w:rPr>
          <w:rFonts w:asciiTheme="majorHAnsi" w:hAnsiTheme="majorHAnsi" w:cstheme="majorHAnsi"/>
          <w:sz w:val="24"/>
          <w:szCs w:val="24"/>
          <w:lang w:val="et-EE"/>
        </w:rPr>
        <w:t>I</w:t>
      </w:r>
      <w:r w:rsidRPr="001D4828">
        <w:rPr>
          <w:rFonts w:asciiTheme="majorHAnsi" w:hAnsiTheme="majorHAnsi" w:cstheme="majorHAnsi"/>
          <w:sz w:val="24"/>
          <w:szCs w:val="24"/>
          <w:lang w:val="et-EE"/>
        </w:rPr>
        <w:t xml:space="preserve">gat </w:t>
      </w:r>
      <w:r>
        <w:rPr>
          <w:rFonts w:asciiTheme="majorHAnsi" w:hAnsiTheme="majorHAnsi" w:cstheme="majorHAnsi"/>
          <w:sz w:val="24"/>
          <w:szCs w:val="24"/>
          <w:lang w:val="et-EE"/>
        </w:rPr>
        <w:t xml:space="preserve">projekti </w:t>
      </w:r>
      <w:r w:rsidRPr="001D4828">
        <w:rPr>
          <w:rFonts w:asciiTheme="majorHAnsi" w:hAnsiTheme="majorHAnsi" w:cstheme="majorHAnsi"/>
          <w:sz w:val="24"/>
          <w:szCs w:val="24"/>
          <w:lang w:val="et-EE"/>
        </w:rPr>
        <w:t xml:space="preserve">partnerit </w:t>
      </w:r>
      <w:r>
        <w:rPr>
          <w:rFonts w:asciiTheme="majorHAnsi" w:hAnsiTheme="majorHAnsi" w:cstheme="majorHAnsi"/>
          <w:sz w:val="24"/>
          <w:szCs w:val="24"/>
          <w:lang w:val="et-EE"/>
        </w:rPr>
        <w:t>rahastab tema oma riigi</w:t>
      </w:r>
      <w:r w:rsidRPr="001D4828">
        <w:rPr>
          <w:rFonts w:asciiTheme="majorHAnsi" w:hAnsiTheme="majorHAnsi" w:cstheme="majorHAnsi"/>
          <w:sz w:val="24"/>
          <w:szCs w:val="24"/>
          <w:lang w:val="et-EE"/>
        </w:rPr>
        <w:t xml:space="preserve"> r</w:t>
      </w:r>
      <w:r>
        <w:rPr>
          <w:rFonts w:asciiTheme="majorHAnsi" w:hAnsiTheme="majorHAnsi" w:cstheme="majorHAnsi"/>
          <w:sz w:val="24"/>
          <w:szCs w:val="24"/>
          <w:lang w:val="et-EE"/>
        </w:rPr>
        <w:t xml:space="preserve">ahastusasutus (välja arvatud Ukraina </w:t>
      </w:r>
      <w:r w:rsidR="002D0DF1">
        <w:rPr>
          <w:rFonts w:asciiTheme="majorHAnsi" w:hAnsiTheme="majorHAnsi" w:cstheme="majorHAnsi"/>
          <w:sz w:val="24"/>
          <w:szCs w:val="24"/>
          <w:lang w:val="et-EE"/>
        </w:rPr>
        <w:t>teadlasi</w:t>
      </w:r>
      <w:r>
        <w:rPr>
          <w:rFonts w:asciiTheme="majorHAnsi" w:hAnsiTheme="majorHAnsi" w:cstheme="majorHAnsi"/>
          <w:sz w:val="24"/>
          <w:szCs w:val="24"/>
          <w:lang w:val="et-EE"/>
        </w:rPr>
        <w:t>)</w:t>
      </w:r>
      <w:r w:rsidRPr="001D4828">
        <w:rPr>
          <w:rFonts w:asciiTheme="majorHAnsi" w:hAnsiTheme="majorHAnsi" w:cstheme="majorHAnsi"/>
          <w:sz w:val="24"/>
          <w:szCs w:val="24"/>
          <w:lang w:val="et-EE"/>
        </w:rPr>
        <w:t>.</w:t>
      </w:r>
      <w:r>
        <w:rPr>
          <w:rFonts w:asciiTheme="majorHAnsi" w:hAnsiTheme="majorHAnsi" w:cstheme="majorHAnsi"/>
          <w:sz w:val="24"/>
          <w:szCs w:val="24"/>
          <w:lang w:val="et-EE"/>
        </w:rPr>
        <w:t xml:space="preserve"> </w:t>
      </w:r>
      <w:r w:rsidRPr="001D4828">
        <w:rPr>
          <w:rFonts w:asciiTheme="majorHAnsi" w:hAnsiTheme="majorHAnsi" w:cstheme="majorHAnsi"/>
          <w:sz w:val="24"/>
          <w:szCs w:val="24"/>
          <w:lang w:val="et-EE"/>
        </w:rPr>
        <w:t xml:space="preserve">Kõigil Eesti taotlejatel on kohustus järgida Eesti vastavusnõudeid. </w:t>
      </w:r>
      <w:r>
        <w:rPr>
          <w:rFonts w:asciiTheme="majorHAnsi" w:hAnsiTheme="majorHAnsi" w:cstheme="majorHAnsi"/>
          <w:sz w:val="24"/>
          <w:szCs w:val="24"/>
          <w:lang w:val="et-EE"/>
        </w:rPr>
        <w:t>K</w:t>
      </w:r>
      <w:r w:rsidRPr="001D4828">
        <w:rPr>
          <w:rFonts w:asciiTheme="majorHAnsi" w:hAnsiTheme="majorHAnsi" w:cstheme="majorHAnsi"/>
          <w:sz w:val="24"/>
          <w:szCs w:val="24"/>
          <w:lang w:val="et-EE"/>
        </w:rPr>
        <w:t xml:space="preserve">ui üks partneritest ei </w:t>
      </w:r>
      <w:r>
        <w:rPr>
          <w:rFonts w:asciiTheme="majorHAnsi" w:hAnsiTheme="majorHAnsi" w:cstheme="majorHAnsi"/>
          <w:sz w:val="24"/>
          <w:szCs w:val="24"/>
          <w:lang w:val="et-EE"/>
        </w:rPr>
        <w:t>vasta nõuetele</w:t>
      </w:r>
      <w:r w:rsidRPr="001D4828">
        <w:rPr>
          <w:rFonts w:asciiTheme="majorHAnsi" w:hAnsiTheme="majorHAnsi" w:cstheme="majorHAnsi"/>
          <w:sz w:val="24"/>
          <w:szCs w:val="24"/>
          <w:lang w:val="et-EE"/>
        </w:rPr>
        <w:t>, võib kogu taotlus osutuda abikõlbmatuks.</w:t>
      </w:r>
    </w:p>
    <w:p w14:paraId="0430C026" w14:textId="77777777" w:rsidR="00C26AD6"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1D4828">
        <w:rPr>
          <w:rFonts w:asciiTheme="majorHAnsi" w:hAnsiTheme="majorHAnsi" w:cstheme="majorHAnsi"/>
          <w:sz w:val="24"/>
          <w:szCs w:val="24"/>
          <w:lang w:val="et-EE"/>
        </w:rPr>
        <w:t xml:space="preserve">Kui projekt, kuhu on kaasatud Eesti partner, </w:t>
      </w:r>
      <w:r>
        <w:rPr>
          <w:rFonts w:asciiTheme="majorHAnsi" w:hAnsiTheme="majorHAnsi" w:cstheme="majorHAnsi"/>
          <w:sz w:val="24"/>
          <w:szCs w:val="24"/>
          <w:lang w:val="et-EE"/>
        </w:rPr>
        <w:t>saab</w:t>
      </w:r>
      <w:r w:rsidRPr="001D4828">
        <w:rPr>
          <w:rFonts w:asciiTheme="majorHAnsi" w:hAnsiTheme="majorHAnsi" w:cstheme="majorHAnsi"/>
          <w:sz w:val="24"/>
          <w:szCs w:val="24"/>
          <w:lang w:val="et-EE"/>
        </w:rPr>
        <w:t xml:space="preserve"> positiiv</w:t>
      </w:r>
      <w:r>
        <w:rPr>
          <w:rFonts w:asciiTheme="majorHAnsi" w:hAnsiTheme="majorHAnsi" w:cstheme="majorHAnsi"/>
          <w:sz w:val="24"/>
          <w:szCs w:val="24"/>
          <w:lang w:val="et-EE"/>
        </w:rPr>
        <w:t>s</w:t>
      </w:r>
      <w:r w:rsidRPr="001D4828">
        <w:rPr>
          <w:rFonts w:asciiTheme="majorHAnsi" w:hAnsiTheme="majorHAnsi" w:cstheme="majorHAnsi"/>
          <w:sz w:val="24"/>
          <w:szCs w:val="24"/>
          <w:lang w:val="et-EE"/>
        </w:rPr>
        <w:t>e rahastamisotsus</w:t>
      </w:r>
      <w:r>
        <w:rPr>
          <w:rFonts w:asciiTheme="majorHAnsi" w:hAnsiTheme="majorHAnsi" w:cstheme="majorHAnsi"/>
          <w:sz w:val="24"/>
          <w:szCs w:val="24"/>
          <w:lang w:val="et-EE"/>
        </w:rPr>
        <w:t>e</w:t>
      </w:r>
      <w:r w:rsidRPr="001D4828">
        <w:rPr>
          <w:rFonts w:asciiTheme="majorHAnsi" w:hAnsiTheme="majorHAnsi" w:cstheme="majorHAnsi"/>
          <w:sz w:val="24"/>
          <w:szCs w:val="24"/>
          <w:lang w:val="et-EE"/>
        </w:rPr>
        <w:t xml:space="preserve">, sõlmivad Eesti </w:t>
      </w:r>
      <w:r>
        <w:rPr>
          <w:rFonts w:asciiTheme="majorHAnsi" w:hAnsiTheme="majorHAnsi" w:cstheme="majorHAnsi"/>
          <w:sz w:val="24"/>
          <w:szCs w:val="24"/>
          <w:lang w:val="et-EE"/>
        </w:rPr>
        <w:t>osaprojekti juht</w:t>
      </w:r>
      <w:r w:rsidRPr="001D4828">
        <w:rPr>
          <w:rFonts w:asciiTheme="majorHAnsi" w:hAnsiTheme="majorHAnsi" w:cstheme="majorHAnsi"/>
          <w:sz w:val="24"/>
          <w:szCs w:val="24"/>
          <w:lang w:val="et-EE"/>
        </w:rPr>
        <w:t xml:space="preserve">, vastuvõttev asutus ja </w:t>
      </w:r>
      <w:r>
        <w:rPr>
          <w:rFonts w:asciiTheme="majorHAnsi" w:hAnsiTheme="majorHAnsi" w:cstheme="majorHAnsi"/>
          <w:sz w:val="24"/>
          <w:szCs w:val="24"/>
          <w:lang w:val="et-EE"/>
        </w:rPr>
        <w:t>rahastusasutus</w:t>
      </w:r>
      <w:r w:rsidRPr="001D4828">
        <w:rPr>
          <w:rFonts w:asciiTheme="majorHAnsi" w:hAnsiTheme="majorHAnsi" w:cstheme="majorHAnsi"/>
          <w:sz w:val="24"/>
          <w:szCs w:val="24"/>
          <w:lang w:val="et-EE"/>
        </w:rPr>
        <w:t xml:space="preserve"> kolmepoolse lepingu.</w:t>
      </w:r>
    </w:p>
    <w:p w14:paraId="5D482042" w14:textId="77777777" w:rsidR="00C26AD6" w:rsidRPr="004B641E" w:rsidRDefault="00C26AD6" w:rsidP="00C26A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57" w:hanging="357"/>
        <w:rPr>
          <w:rFonts w:asciiTheme="majorHAnsi" w:hAnsiTheme="majorHAnsi" w:cstheme="majorHAnsi"/>
          <w:b/>
          <w:bCs/>
          <w:sz w:val="24"/>
          <w:szCs w:val="24"/>
          <w:lang w:val="et-EE"/>
        </w:rPr>
      </w:pPr>
      <w:r w:rsidRPr="004B641E">
        <w:rPr>
          <w:rFonts w:asciiTheme="majorHAnsi" w:hAnsiTheme="majorHAnsi" w:cstheme="majorHAnsi"/>
          <w:b/>
          <w:bCs/>
          <w:sz w:val="24"/>
          <w:szCs w:val="24"/>
          <w:lang w:val="et-EE"/>
        </w:rPr>
        <w:t>Projektis osalejad</w:t>
      </w:r>
    </w:p>
    <w:p w14:paraId="330A757E" w14:textId="77777777" w:rsidR="00C26AD6" w:rsidRPr="004D5315"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Pr>
          <w:rFonts w:asciiTheme="majorHAnsi" w:hAnsiTheme="majorHAnsi" w:cstheme="majorHAnsi"/>
          <w:b/>
          <w:bCs/>
          <w:sz w:val="24"/>
          <w:szCs w:val="24"/>
          <w:lang w:val="et-EE"/>
        </w:rPr>
        <w:t xml:space="preserve">1.1. </w:t>
      </w:r>
      <w:r w:rsidRPr="004D5315">
        <w:rPr>
          <w:rFonts w:asciiTheme="majorHAnsi" w:hAnsiTheme="majorHAnsi" w:cstheme="majorHAnsi"/>
          <w:b/>
          <w:bCs/>
          <w:sz w:val="24"/>
          <w:szCs w:val="24"/>
          <w:lang w:val="et-EE"/>
        </w:rPr>
        <w:t>Vastuvõttev asutus</w:t>
      </w:r>
      <w:r>
        <w:rPr>
          <w:rFonts w:asciiTheme="majorHAnsi" w:hAnsiTheme="majorHAnsi" w:cstheme="majorHAnsi"/>
          <w:b/>
          <w:bCs/>
          <w:sz w:val="24"/>
          <w:szCs w:val="24"/>
          <w:lang w:val="et-EE"/>
        </w:rPr>
        <w:t xml:space="preserve"> </w:t>
      </w:r>
      <w:r>
        <w:rPr>
          <w:rFonts w:asciiTheme="majorHAnsi" w:hAnsiTheme="majorHAnsi" w:cstheme="majorHAnsi"/>
          <w:sz w:val="24"/>
          <w:szCs w:val="24"/>
          <w:lang w:val="et-EE"/>
        </w:rPr>
        <w:t>(</w:t>
      </w:r>
      <w:r w:rsidRPr="0093135C">
        <w:rPr>
          <w:rFonts w:asciiTheme="majorHAnsi" w:hAnsiTheme="majorHAnsi" w:cstheme="majorHAnsi"/>
          <w:i/>
          <w:iCs/>
          <w:sz w:val="24"/>
          <w:szCs w:val="24"/>
          <w:lang w:val="fi-FI"/>
        </w:rPr>
        <w:t>host institution</w:t>
      </w:r>
      <w:r>
        <w:rPr>
          <w:rFonts w:asciiTheme="majorHAnsi" w:hAnsiTheme="majorHAnsi" w:cstheme="majorHAnsi"/>
          <w:sz w:val="24"/>
          <w:szCs w:val="24"/>
          <w:lang w:val="et-EE"/>
        </w:rPr>
        <w:t>)</w:t>
      </w:r>
      <w:r w:rsidRPr="004D5315">
        <w:rPr>
          <w:rFonts w:asciiTheme="majorHAnsi" w:hAnsiTheme="majorHAnsi" w:cstheme="majorHAnsi"/>
          <w:sz w:val="24"/>
          <w:szCs w:val="24"/>
          <w:lang w:val="et-EE"/>
        </w:rPr>
        <w:t xml:space="preserve"> peab olema positiivselt </w:t>
      </w:r>
      <w:proofErr w:type="spellStart"/>
      <w:r w:rsidRPr="004D5315">
        <w:rPr>
          <w:rFonts w:asciiTheme="majorHAnsi" w:hAnsiTheme="majorHAnsi" w:cstheme="majorHAnsi"/>
          <w:sz w:val="24"/>
          <w:szCs w:val="24"/>
          <w:lang w:val="et-EE"/>
        </w:rPr>
        <w:t>evalveeritud</w:t>
      </w:r>
      <w:proofErr w:type="spellEnd"/>
      <w:r w:rsidRPr="004D5315">
        <w:rPr>
          <w:rFonts w:asciiTheme="majorHAnsi" w:hAnsiTheme="majorHAnsi" w:cstheme="majorHAnsi"/>
          <w:sz w:val="24"/>
          <w:szCs w:val="24"/>
          <w:lang w:val="et-EE"/>
        </w:rPr>
        <w:t xml:space="preserve"> teadus- ja arendusasutus, mis on Eestis registreeritud juriidiline isik. </w:t>
      </w:r>
      <w:proofErr w:type="spellStart"/>
      <w:r w:rsidRPr="004D5315">
        <w:rPr>
          <w:rFonts w:asciiTheme="majorHAnsi" w:hAnsiTheme="majorHAnsi" w:cstheme="majorHAnsi"/>
          <w:sz w:val="24"/>
          <w:szCs w:val="24"/>
          <w:lang w:val="et-EE"/>
        </w:rPr>
        <w:t>Evalveeritud</w:t>
      </w:r>
      <w:proofErr w:type="spellEnd"/>
      <w:r w:rsidRPr="004D5315">
        <w:rPr>
          <w:rFonts w:asciiTheme="majorHAnsi" w:hAnsiTheme="majorHAnsi" w:cstheme="majorHAnsi"/>
          <w:sz w:val="24"/>
          <w:szCs w:val="24"/>
          <w:lang w:val="et-EE"/>
        </w:rPr>
        <w:t xml:space="preserve"> asutuste nimekirja leiab Eesti Teadusinfosüsteemist (ETIS) </w:t>
      </w:r>
      <w:hyperlink r:id="rId7" w:history="1">
        <w:r w:rsidRPr="004D5315">
          <w:rPr>
            <w:rStyle w:val="Hperlink"/>
            <w:rFonts w:asciiTheme="majorHAnsi" w:hAnsiTheme="majorHAnsi" w:cstheme="majorHAnsi"/>
            <w:sz w:val="24"/>
            <w:szCs w:val="24"/>
            <w:lang w:val="et-EE"/>
          </w:rPr>
          <w:t>www.etis.ee</w:t>
        </w:r>
      </w:hyperlink>
      <w:r w:rsidRPr="004D5315">
        <w:rPr>
          <w:rFonts w:asciiTheme="majorHAnsi" w:hAnsiTheme="majorHAnsi" w:cstheme="majorHAnsi"/>
          <w:sz w:val="24"/>
          <w:szCs w:val="24"/>
          <w:lang w:val="et-EE"/>
        </w:rPr>
        <w:t>.</w:t>
      </w:r>
    </w:p>
    <w:p w14:paraId="334A43BB" w14:textId="77777777" w:rsidR="00C26AD6" w:rsidRPr="00270FBB"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270FBB">
        <w:rPr>
          <w:rFonts w:asciiTheme="majorHAnsi" w:hAnsiTheme="majorHAnsi" w:cstheme="majorHAnsi"/>
          <w:sz w:val="24"/>
          <w:szCs w:val="24"/>
          <w:lang w:val="et-EE"/>
        </w:rPr>
        <w:t>Vastuvõttev asutus on asutus, kellele toetus eraldatakse.</w:t>
      </w:r>
    </w:p>
    <w:p w14:paraId="4315386C" w14:textId="36D2839F" w:rsidR="00C26AD6" w:rsidRPr="001D4828"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Pr>
          <w:rFonts w:asciiTheme="majorHAnsi" w:hAnsiTheme="majorHAnsi" w:cstheme="majorHAnsi"/>
          <w:sz w:val="24"/>
          <w:szCs w:val="24"/>
          <w:lang w:val="et-EE"/>
        </w:rPr>
        <w:t>Peale taotlusvooru sulgumist ja rahastusasutuselt vastava teavituse saamist peab v</w:t>
      </w:r>
      <w:r w:rsidRPr="001D4828">
        <w:rPr>
          <w:rFonts w:asciiTheme="majorHAnsi" w:hAnsiTheme="majorHAnsi" w:cstheme="majorHAnsi"/>
          <w:sz w:val="24"/>
          <w:szCs w:val="24"/>
          <w:lang w:val="et-EE"/>
        </w:rPr>
        <w:t>astuvõttev asutus</w:t>
      </w:r>
      <w:r>
        <w:rPr>
          <w:rFonts w:asciiTheme="majorHAnsi" w:hAnsiTheme="majorHAnsi" w:cstheme="majorHAnsi"/>
          <w:sz w:val="24"/>
          <w:szCs w:val="24"/>
          <w:lang w:val="et-EE"/>
        </w:rPr>
        <w:t xml:space="preserve"> esitama</w:t>
      </w:r>
      <w:r w:rsidRPr="001D4828">
        <w:rPr>
          <w:rFonts w:asciiTheme="majorHAnsi" w:hAnsiTheme="majorHAnsi" w:cstheme="majorHAnsi"/>
          <w:sz w:val="24"/>
          <w:szCs w:val="24"/>
          <w:lang w:val="et-EE"/>
        </w:rPr>
        <w:t xml:space="preserve"> </w:t>
      </w:r>
      <w:r>
        <w:rPr>
          <w:rFonts w:asciiTheme="majorHAnsi" w:hAnsiTheme="majorHAnsi" w:cstheme="majorHAnsi"/>
          <w:sz w:val="24"/>
          <w:szCs w:val="24"/>
          <w:lang w:val="et-EE"/>
        </w:rPr>
        <w:t>rahastusasutusele</w:t>
      </w:r>
      <w:r w:rsidRPr="001D4828">
        <w:rPr>
          <w:rFonts w:asciiTheme="majorHAnsi" w:hAnsiTheme="majorHAnsi" w:cstheme="majorHAnsi"/>
          <w:sz w:val="24"/>
          <w:szCs w:val="24"/>
          <w:lang w:val="et-EE"/>
        </w:rPr>
        <w:t xml:space="preserve"> kinnituskirja,</w:t>
      </w:r>
      <w:r>
        <w:rPr>
          <w:rFonts w:asciiTheme="majorHAnsi" w:hAnsiTheme="majorHAnsi" w:cstheme="majorHAnsi"/>
          <w:sz w:val="24"/>
          <w:szCs w:val="24"/>
          <w:lang w:val="et-EE"/>
        </w:rPr>
        <w:t xml:space="preserve"> milles kinnitab, </w:t>
      </w:r>
      <w:r w:rsidRPr="001D4828">
        <w:rPr>
          <w:rFonts w:asciiTheme="majorHAnsi" w:hAnsiTheme="majorHAnsi" w:cstheme="majorHAnsi"/>
          <w:sz w:val="24"/>
          <w:szCs w:val="24"/>
          <w:lang w:val="et-EE"/>
        </w:rPr>
        <w:t xml:space="preserve">et projekti saab läbi viia </w:t>
      </w:r>
      <w:r>
        <w:rPr>
          <w:rFonts w:asciiTheme="majorHAnsi" w:hAnsiTheme="majorHAnsi" w:cstheme="majorHAnsi"/>
          <w:sz w:val="24"/>
          <w:szCs w:val="24"/>
          <w:lang w:val="et-EE"/>
        </w:rPr>
        <w:t>nende</w:t>
      </w:r>
      <w:r w:rsidRPr="001D4828">
        <w:rPr>
          <w:rFonts w:asciiTheme="majorHAnsi" w:hAnsiTheme="majorHAnsi" w:cstheme="majorHAnsi"/>
          <w:sz w:val="24"/>
          <w:szCs w:val="24"/>
          <w:lang w:val="et-EE"/>
        </w:rPr>
        <w:t xml:space="preserve"> ruumides ning juhul, kui projek</w:t>
      </w:r>
      <w:r>
        <w:rPr>
          <w:rFonts w:asciiTheme="majorHAnsi" w:hAnsiTheme="majorHAnsi" w:cstheme="majorHAnsi"/>
          <w:sz w:val="24"/>
          <w:szCs w:val="24"/>
          <w:lang w:val="et-EE"/>
        </w:rPr>
        <w:t>t saab</w:t>
      </w:r>
      <w:r w:rsidRPr="001D4828">
        <w:rPr>
          <w:rFonts w:asciiTheme="majorHAnsi" w:hAnsiTheme="majorHAnsi" w:cstheme="majorHAnsi"/>
          <w:sz w:val="24"/>
          <w:szCs w:val="24"/>
          <w:lang w:val="et-EE"/>
        </w:rPr>
        <w:t xml:space="preserve"> </w:t>
      </w:r>
      <w:r>
        <w:rPr>
          <w:rFonts w:asciiTheme="majorHAnsi" w:hAnsiTheme="majorHAnsi" w:cstheme="majorHAnsi"/>
          <w:sz w:val="24"/>
          <w:szCs w:val="24"/>
          <w:lang w:val="et-EE"/>
        </w:rPr>
        <w:t xml:space="preserve">positiivse </w:t>
      </w:r>
      <w:r w:rsidRPr="001D4828">
        <w:rPr>
          <w:rFonts w:asciiTheme="majorHAnsi" w:hAnsiTheme="majorHAnsi" w:cstheme="majorHAnsi"/>
          <w:sz w:val="24"/>
          <w:szCs w:val="24"/>
          <w:lang w:val="et-EE"/>
        </w:rPr>
        <w:t>rahastusotsus</w:t>
      </w:r>
      <w:r>
        <w:rPr>
          <w:rFonts w:asciiTheme="majorHAnsi" w:hAnsiTheme="majorHAnsi" w:cstheme="majorHAnsi"/>
          <w:sz w:val="24"/>
          <w:szCs w:val="24"/>
          <w:lang w:val="et-EE"/>
        </w:rPr>
        <w:t>e</w:t>
      </w:r>
      <w:r w:rsidRPr="001D4828">
        <w:rPr>
          <w:rFonts w:asciiTheme="majorHAnsi" w:hAnsiTheme="majorHAnsi" w:cstheme="majorHAnsi"/>
          <w:sz w:val="24"/>
          <w:szCs w:val="24"/>
          <w:lang w:val="et-EE"/>
        </w:rPr>
        <w:t xml:space="preserve">, garanteerib </w:t>
      </w:r>
      <w:r>
        <w:rPr>
          <w:rFonts w:asciiTheme="majorHAnsi" w:hAnsiTheme="majorHAnsi" w:cstheme="majorHAnsi"/>
          <w:sz w:val="24"/>
          <w:szCs w:val="24"/>
          <w:lang w:val="et-EE"/>
        </w:rPr>
        <w:t xml:space="preserve">ta </w:t>
      </w:r>
      <w:r w:rsidRPr="00D55600">
        <w:rPr>
          <w:rFonts w:asciiTheme="majorHAnsi" w:hAnsiTheme="majorHAnsi" w:cstheme="majorHAnsi"/>
          <w:sz w:val="24"/>
          <w:szCs w:val="24"/>
          <w:lang w:val="et-EE"/>
        </w:rPr>
        <w:t>Eesti osaprojekti juhile</w:t>
      </w:r>
      <w:r w:rsidRPr="001D4828">
        <w:rPr>
          <w:rFonts w:asciiTheme="majorHAnsi" w:hAnsiTheme="majorHAnsi" w:cstheme="majorHAnsi"/>
          <w:sz w:val="24"/>
          <w:szCs w:val="24"/>
          <w:lang w:val="et-EE"/>
        </w:rPr>
        <w:t xml:space="preserve"> kehtiva töölepingu kogu kavandatava projekti</w:t>
      </w:r>
      <w:r w:rsidR="00370DC9">
        <w:rPr>
          <w:rFonts w:asciiTheme="majorHAnsi" w:hAnsiTheme="majorHAnsi" w:cstheme="majorHAnsi"/>
          <w:sz w:val="24"/>
          <w:szCs w:val="24"/>
          <w:lang w:val="et-EE"/>
        </w:rPr>
        <w:t xml:space="preserve"> </w:t>
      </w:r>
      <w:r w:rsidR="00F707CB">
        <w:rPr>
          <w:rFonts w:asciiTheme="majorHAnsi" w:hAnsiTheme="majorHAnsi" w:cstheme="majorHAnsi"/>
          <w:sz w:val="24"/>
          <w:szCs w:val="24"/>
          <w:lang w:val="et-EE"/>
        </w:rPr>
        <w:t xml:space="preserve">perioodi jooksul. </w:t>
      </w:r>
    </w:p>
    <w:p w14:paraId="202258C2" w14:textId="77777777" w:rsidR="00C26AD6" w:rsidRPr="001D4828"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1D4828">
        <w:rPr>
          <w:rFonts w:asciiTheme="majorHAnsi" w:hAnsiTheme="majorHAnsi" w:cstheme="majorHAnsi"/>
          <w:sz w:val="24"/>
          <w:szCs w:val="24"/>
          <w:lang w:val="et-EE"/>
        </w:rPr>
        <w:t>Kui vastuvõttev asutus on kasumit t</w:t>
      </w:r>
      <w:r>
        <w:rPr>
          <w:rFonts w:asciiTheme="majorHAnsi" w:hAnsiTheme="majorHAnsi" w:cstheme="majorHAnsi"/>
          <w:sz w:val="24"/>
          <w:szCs w:val="24"/>
          <w:lang w:val="et-EE"/>
        </w:rPr>
        <w:t>aotle</w:t>
      </w:r>
      <w:r w:rsidRPr="001D4828">
        <w:rPr>
          <w:rFonts w:asciiTheme="majorHAnsi" w:hAnsiTheme="majorHAnsi" w:cstheme="majorHAnsi"/>
          <w:sz w:val="24"/>
          <w:szCs w:val="24"/>
          <w:lang w:val="et-EE"/>
        </w:rPr>
        <w:t>v asutus, tuleb arvesse võtta riigiabi ja vähese tähtsusega abi eeskirju (vt</w:t>
      </w:r>
      <w:r w:rsidRPr="001D4828" w:rsidDel="001F4FBA">
        <w:rPr>
          <w:rFonts w:asciiTheme="majorHAnsi" w:hAnsiTheme="majorHAnsi" w:cstheme="majorHAnsi"/>
          <w:sz w:val="24"/>
          <w:szCs w:val="24"/>
          <w:lang w:val="et-EE"/>
        </w:rPr>
        <w:t xml:space="preserve"> </w:t>
      </w:r>
      <w:r w:rsidRPr="001D4828">
        <w:rPr>
          <w:rFonts w:asciiTheme="majorHAnsi" w:hAnsiTheme="majorHAnsi" w:cstheme="majorHAnsi"/>
          <w:sz w:val="24"/>
          <w:szCs w:val="24"/>
          <w:lang w:val="et-EE"/>
        </w:rPr>
        <w:t>punkt 3).</w:t>
      </w:r>
    </w:p>
    <w:p w14:paraId="60B3D5ED" w14:textId="77777777" w:rsidR="00C26AD6" w:rsidRPr="004D5315" w:rsidRDefault="00C26AD6" w:rsidP="00C26AD6">
      <w:pPr>
        <w:pStyle w:val="Default"/>
        <w:spacing w:after="256"/>
        <w:rPr>
          <w:rFonts w:asciiTheme="majorHAnsi" w:hAnsiTheme="majorHAnsi" w:cstheme="majorHAnsi"/>
          <w:color w:val="auto"/>
        </w:rPr>
      </w:pPr>
      <w:r>
        <w:rPr>
          <w:rFonts w:asciiTheme="majorHAnsi" w:hAnsiTheme="majorHAnsi" w:cstheme="majorHAnsi"/>
          <w:b/>
          <w:bCs/>
          <w:color w:val="auto"/>
        </w:rPr>
        <w:t xml:space="preserve">1.2. </w:t>
      </w:r>
      <w:r w:rsidRPr="002C0028">
        <w:rPr>
          <w:rFonts w:asciiTheme="majorHAnsi" w:hAnsiTheme="majorHAnsi" w:cstheme="majorHAnsi"/>
          <w:b/>
          <w:bCs/>
          <w:color w:val="auto"/>
        </w:rPr>
        <w:t>Eesti osaprojekti juht</w:t>
      </w:r>
      <w:r>
        <w:rPr>
          <w:rFonts w:asciiTheme="majorHAnsi" w:hAnsiTheme="majorHAnsi" w:cstheme="majorHAnsi"/>
          <w:color w:val="auto"/>
        </w:rPr>
        <w:t xml:space="preserve"> (</w:t>
      </w:r>
      <w:r w:rsidRPr="0093135C">
        <w:rPr>
          <w:rFonts w:asciiTheme="majorHAnsi" w:hAnsiTheme="majorHAnsi" w:cstheme="majorHAnsi"/>
          <w:i/>
          <w:iCs/>
          <w:color w:val="auto"/>
          <w:lang w:val="fi-FI"/>
        </w:rPr>
        <w:t>principal investigator)</w:t>
      </w:r>
      <w:r w:rsidRPr="001D4828">
        <w:rPr>
          <w:rFonts w:asciiTheme="majorHAnsi" w:hAnsiTheme="majorHAnsi" w:cstheme="majorHAnsi"/>
          <w:color w:val="auto"/>
        </w:rPr>
        <w:t xml:space="preserve"> on teadlane</w:t>
      </w:r>
      <w:r>
        <w:rPr>
          <w:rFonts w:asciiTheme="majorHAnsi" w:hAnsiTheme="majorHAnsi" w:cstheme="majorHAnsi"/>
          <w:color w:val="auto"/>
        </w:rPr>
        <w:t>,</w:t>
      </w:r>
      <w:r w:rsidRPr="001D4828">
        <w:rPr>
          <w:rFonts w:asciiTheme="majorHAnsi" w:hAnsiTheme="majorHAnsi" w:cstheme="majorHAnsi"/>
          <w:color w:val="auto"/>
        </w:rPr>
        <w:t xml:space="preserve"> kes on plaanitavas projektis Eesti</w:t>
      </w:r>
      <w:r>
        <w:rPr>
          <w:rFonts w:asciiTheme="majorHAnsi" w:hAnsiTheme="majorHAnsi" w:cstheme="majorHAnsi"/>
          <w:color w:val="auto"/>
        </w:rPr>
        <w:t xml:space="preserve"> </w:t>
      </w:r>
      <w:r w:rsidRPr="004D5315">
        <w:rPr>
          <w:rFonts w:asciiTheme="majorHAnsi" w:hAnsiTheme="majorHAnsi" w:cstheme="majorHAnsi"/>
          <w:color w:val="auto"/>
        </w:rPr>
        <w:t>töögrupi juht. Eesti osaprojekti juht vastutab selle eest, kuidas Eesti töögrupi eesmärgid saavad fikseeritud ja kuidas positiivse rahastamisotsuse korral viiakse projektis täide Eesti osa.</w:t>
      </w:r>
    </w:p>
    <w:p w14:paraId="6E22E1ED" w14:textId="77777777" w:rsidR="00C26AD6" w:rsidRDefault="00C26AD6" w:rsidP="00C26AD6">
      <w:p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4"/>
          <w:szCs w:val="24"/>
          <w:lang w:val="et-EE"/>
        </w:rPr>
      </w:pPr>
      <w:r w:rsidRPr="00A00C1D">
        <w:rPr>
          <w:rFonts w:asciiTheme="majorHAnsi" w:hAnsiTheme="majorHAnsi" w:cstheme="majorHAnsi"/>
          <w:sz w:val="24"/>
          <w:szCs w:val="24"/>
          <w:lang w:val="et-EE"/>
        </w:rPr>
        <w:t>Eesti osaprojekti juhil</w:t>
      </w:r>
      <w:r>
        <w:rPr>
          <w:rFonts w:asciiTheme="majorHAnsi" w:hAnsiTheme="majorHAnsi" w:cstheme="majorHAnsi"/>
          <w:sz w:val="24"/>
          <w:szCs w:val="24"/>
          <w:lang w:val="et-EE"/>
        </w:rPr>
        <w:t xml:space="preserve"> peab olema:</w:t>
      </w:r>
    </w:p>
    <w:p w14:paraId="4B423277" w14:textId="77777777" w:rsidR="00C26AD6" w:rsidRDefault="00C26AD6" w:rsidP="00C26AD6">
      <w:p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after="240"/>
        <w:ind w:left="720"/>
        <w:jc w:val="both"/>
        <w:rPr>
          <w:rFonts w:asciiTheme="majorHAnsi" w:hAnsiTheme="majorHAnsi" w:cstheme="majorHAnsi"/>
          <w:sz w:val="24"/>
          <w:szCs w:val="24"/>
          <w:lang w:val="et-EE"/>
        </w:rPr>
      </w:pPr>
      <w:r>
        <w:rPr>
          <w:rFonts w:asciiTheme="majorHAnsi" w:hAnsiTheme="majorHAnsi" w:cstheme="majorHAnsi"/>
          <w:sz w:val="24"/>
          <w:szCs w:val="24"/>
          <w:lang w:val="et-EE"/>
        </w:rPr>
        <w:t>1.2.1.</w:t>
      </w:r>
      <w:r w:rsidRPr="002C0028">
        <w:rPr>
          <w:rFonts w:asciiTheme="majorHAnsi" w:hAnsiTheme="majorHAnsi" w:cstheme="majorHAnsi"/>
          <w:sz w:val="24"/>
          <w:szCs w:val="24"/>
          <w:lang w:val="et-EE"/>
        </w:rPr>
        <w:t xml:space="preserve"> hiljemalt taotluse esitamise tähtajaks uuendatud avalik profiil Eesti Teadusinfosüsteemis (ETIS);</w:t>
      </w:r>
    </w:p>
    <w:p w14:paraId="4596D253" w14:textId="77777777" w:rsidR="00C26AD6" w:rsidRDefault="00C26AD6" w:rsidP="00C26AD6">
      <w:p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after="240"/>
        <w:ind w:left="720"/>
        <w:jc w:val="both"/>
        <w:rPr>
          <w:rFonts w:asciiTheme="majorHAnsi" w:hAnsiTheme="majorHAnsi" w:cstheme="majorHAnsi"/>
          <w:sz w:val="24"/>
          <w:szCs w:val="24"/>
          <w:lang w:val="et-EE"/>
        </w:rPr>
      </w:pPr>
      <w:r>
        <w:rPr>
          <w:rFonts w:asciiTheme="majorHAnsi" w:hAnsiTheme="majorHAnsi" w:cstheme="majorHAnsi"/>
          <w:sz w:val="24"/>
          <w:szCs w:val="24"/>
          <w:lang w:val="et-EE"/>
        </w:rPr>
        <w:lastRenderedPageBreak/>
        <w:t>1.2.2.</w:t>
      </w:r>
      <w:r w:rsidRPr="002C0028">
        <w:rPr>
          <w:rFonts w:asciiTheme="majorHAnsi" w:hAnsiTheme="majorHAnsi" w:cstheme="majorHAnsi"/>
          <w:sz w:val="24"/>
          <w:szCs w:val="24"/>
          <w:lang w:val="et-EE"/>
        </w:rPr>
        <w:t xml:space="preserve"> doktorikraad või sellele vastav kvalifikatsioon hiljemalt taotluse esitamise tähtajaks;</w:t>
      </w:r>
    </w:p>
    <w:p w14:paraId="460FA4DA" w14:textId="4524590A" w:rsidR="00C26AD6" w:rsidRDefault="00C26AD6" w:rsidP="002D0DF1">
      <w:p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after="240"/>
        <w:ind w:left="708"/>
        <w:jc w:val="both"/>
        <w:rPr>
          <w:rFonts w:asciiTheme="majorHAnsi" w:hAnsiTheme="majorHAnsi" w:cstheme="majorHAnsi"/>
          <w:sz w:val="24"/>
          <w:szCs w:val="24"/>
          <w:lang w:val="et-EE"/>
        </w:rPr>
      </w:pPr>
      <w:r>
        <w:rPr>
          <w:rFonts w:asciiTheme="majorHAnsi" w:hAnsiTheme="majorHAnsi" w:cstheme="majorHAnsi"/>
          <w:sz w:val="24"/>
          <w:szCs w:val="24"/>
          <w:lang w:val="et-EE"/>
        </w:rPr>
        <w:t>1.2.3.</w:t>
      </w:r>
      <w:r w:rsidRPr="002C0028">
        <w:rPr>
          <w:rFonts w:asciiTheme="majorHAnsi" w:hAnsiTheme="majorHAnsi" w:cstheme="majorHAnsi"/>
          <w:sz w:val="24"/>
          <w:szCs w:val="24"/>
          <w:lang w:val="et-EE"/>
        </w:rPr>
        <w:t xml:space="preserve"> viimase viie kalendriaasta jooksul enne taotluse esitamise tähtaega ilmunud või saanud avaldamiskinnituse vähemalt kolm </w:t>
      </w:r>
      <w:proofErr w:type="spellStart"/>
      <w:r w:rsidRPr="002C0028">
        <w:rPr>
          <w:rFonts w:asciiTheme="majorHAnsi" w:hAnsiTheme="majorHAnsi" w:cstheme="majorHAnsi"/>
          <w:sz w:val="24"/>
          <w:szCs w:val="24"/>
          <w:lang w:val="et-EE"/>
        </w:rPr>
        <w:t>ETISe</w:t>
      </w:r>
      <w:proofErr w:type="spellEnd"/>
      <w:r w:rsidRPr="002C0028">
        <w:rPr>
          <w:rFonts w:asciiTheme="majorHAnsi" w:hAnsiTheme="majorHAnsi" w:cstheme="majorHAnsi"/>
          <w:sz w:val="24"/>
          <w:szCs w:val="24"/>
          <w:lang w:val="et-EE"/>
        </w:rPr>
        <w:t xml:space="preserve"> klassifikatsiooni </w:t>
      </w:r>
      <w:r w:rsidR="002D0DF1">
        <w:rPr>
          <w:rFonts w:asciiTheme="majorHAnsi" w:hAnsiTheme="majorHAnsi" w:cstheme="majorHAnsi"/>
          <w:sz w:val="24"/>
          <w:szCs w:val="24"/>
          <w:lang w:val="et-EE"/>
        </w:rPr>
        <w:t xml:space="preserve">punktis </w:t>
      </w:r>
      <w:r w:rsidRPr="002C0028">
        <w:rPr>
          <w:rFonts w:asciiTheme="majorHAnsi" w:hAnsiTheme="majorHAnsi" w:cstheme="majorHAnsi"/>
          <w:sz w:val="24"/>
          <w:szCs w:val="24"/>
          <w:lang w:val="et-EE"/>
        </w:rPr>
        <w:t>1.1 nõuetele vastavat artiklit või vähemalt viis 1.1, 1.2, 2.1 või 3.1 nõuetele vastavat artiklit</w:t>
      </w:r>
      <w:r>
        <w:rPr>
          <w:rStyle w:val="Allmrkuseviide"/>
          <w:rFonts w:asciiTheme="majorHAnsi" w:hAnsiTheme="majorHAnsi" w:cstheme="majorHAnsi"/>
          <w:sz w:val="24"/>
          <w:szCs w:val="24"/>
          <w:lang w:val="et-EE"/>
        </w:rPr>
        <w:footnoteReference w:id="1"/>
      </w:r>
      <w:r w:rsidRPr="002C0028">
        <w:rPr>
          <w:rFonts w:asciiTheme="majorHAnsi" w:hAnsiTheme="majorHAnsi" w:cstheme="majorHAnsi"/>
          <w:sz w:val="24"/>
          <w:szCs w:val="24"/>
          <w:lang w:val="et-EE"/>
        </w:rPr>
        <w:t>. Rahvusvahelised patendid on võrdsustatud punktis 1.1 nimetatud väljaannetega. Monograafia (</w:t>
      </w:r>
      <w:proofErr w:type="spellStart"/>
      <w:r w:rsidRPr="002C0028">
        <w:rPr>
          <w:rFonts w:asciiTheme="majorHAnsi" w:hAnsiTheme="majorHAnsi" w:cstheme="majorHAnsi"/>
          <w:sz w:val="24"/>
          <w:szCs w:val="24"/>
          <w:lang w:val="et-EE"/>
        </w:rPr>
        <w:t>ETISe</w:t>
      </w:r>
      <w:proofErr w:type="spellEnd"/>
      <w:r w:rsidRPr="002C0028">
        <w:rPr>
          <w:rFonts w:asciiTheme="majorHAnsi" w:hAnsiTheme="majorHAnsi" w:cstheme="majorHAnsi"/>
          <w:sz w:val="24"/>
          <w:szCs w:val="24"/>
          <w:lang w:val="et-EE"/>
        </w:rPr>
        <w:t xml:space="preserve"> punkt 2.1) on võrdsustatud punktis 1.1 nimetatud kolme publikatsiooniga, kui autorite arv on kolm või vähem. Kui taotleja on olnud rasedus- ja sünnituspuhkusel, lapsehoolduspuhkusel</w:t>
      </w:r>
      <w:r w:rsidRPr="002C0028">
        <w:rPr>
          <w:rStyle w:val="Kommentaariviide"/>
          <w:lang w:val="et-EE"/>
        </w:rPr>
        <w:t>,</w:t>
      </w:r>
      <w:r w:rsidRPr="002C0028">
        <w:rPr>
          <w:rFonts w:asciiTheme="majorHAnsi" w:hAnsiTheme="majorHAnsi" w:cstheme="majorHAnsi"/>
          <w:sz w:val="24"/>
          <w:szCs w:val="24"/>
          <w:lang w:val="et-EE"/>
        </w:rPr>
        <w:t xml:space="preserve"> täitnud kaitseväes kohustuslikku teenistust või tal on mõni muu tõsiseltvõetav põhjus, võib ta taotleda avaldamisperioodi nõude pikendamist vastava ajavahemiku võrra.</w:t>
      </w:r>
    </w:p>
    <w:p w14:paraId="61340BD8" w14:textId="280A33BD" w:rsidR="00C26AD6" w:rsidRDefault="00C26AD6" w:rsidP="00C26AD6">
      <w:pPr>
        <w:tabs>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2C0028">
        <w:rPr>
          <w:rFonts w:asciiTheme="majorHAnsi" w:hAnsiTheme="majorHAnsi" w:cstheme="majorHAnsi"/>
          <w:sz w:val="24"/>
          <w:szCs w:val="24"/>
          <w:lang w:val="et-EE"/>
        </w:rPr>
        <w:t xml:space="preserve">Kui </w:t>
      </w:r>
      <w:r>
        <w:rPr>
          <w:rFonts w:asciiTheme="majorHAnsi" w:hAnsiTheme="majorHAnsi" w:cstheme="majorHAnsi"/>
          <w:sz w:val="24"/>
          <w:szCs w:val="24"/>
          <w:lang w:val="et-EE"/>
        </w:rPr>
        <w:t>Eesti osaprojekti juht</w:t>
      </w:r>
      <w:r w:rsidRPr="002C0028">
        <w:rPr>
          <w:rFonts w:asciiTheme="majorHAnsi" w:hAnsiTheme="majorHAnsi" w:cstheme="majorHAnsi"/>
          <w:sz w:val="24"/>
          <w:szCs w:val="24"/>
          <w:lang w:val="et-EE"/>
        </w:rPr>
        <w:t xml:space="preserve"> on omandanud doktorikraadi väljaspool Eestit, peab tema vastavust Eesti doktorikraadile tunnustama kas Eesti ENIC-NARIC Keskus või vastuvõttev asutus vastavalt Vabariigi Valitsuse 6. aprilli 2006. a määrusele nr 89 </w:t>
      </w:r>
      <w:r w:rsidR="002D0DF1">
        <w:rPr>
          <w:rFonts w:asciiTheme="majorHAnsi" w:hAnsiTheme="majorHAnsi" w:cstheme="majorHAnsi"/>
          <w:sz w:val="24"/>
          <w:szCs w:val="24"/>
          <w:lang w:val="et-EE"/>
        </w:rPr>
        <w:t>„</w:t>
      </w:r>
      <w:r w:rsidRPr="00A42FD6">
        <w:rPr>
          <w:rFonts w:asciiTheme="majorHAnsi" w:hAnsiTheme="majorHAnsi" w:cstheme="majorHAnsi"/>
          <w:sz w:val="24"/>
          <w:szCs w:val="24"/>
          <w:lang w:val="et-EE"/>
        </w:rPr>
        <w:t>Välisriigi haridust tõendavate dokumentide hindamise ja akadeemilise tunnustamise ning välisriigi haridussüsteemis antud kvalifikatsiooni nimetuse kasutamise tingimused ja kord</w:t>
      </w:r>
      <w:r w:rsidR="002D0DF1">
        <w:rPr>
          <w:rFonts w:asciiTheme="majorHAnsi" w:hAnsiTheme="majorHAnsi" w:cstheme="majorHAnsi"/>
          <w:sz w:val="24"/>
          <w:szCs w:val="24"/>
          <w:lang w:val="et-EE"/>
        </w:rPr>
        <w:t>“</w:t>
      </w:r>
      <w:r w:rsidRPr="002C0028">
        <w:rPr>
          <w:rFonts w:asciiTheme="majorHAnsi" w:hAnsiTheme="majorHAnsi" w:cstheme="majorHAnsi"/>
          <w:sz w:val="24"/>
          <w:szCs w:val="24"/>
          <w:lang w:val="et-EE"/>
        </w:rPr>
        <w:t>. Rahast</w:t>
      </w:r>
      <w:r>
        <w:rPr>
          <w:rFonts w:asciiTheme="majorHAnsi" w:hAnsiTheme="majorHAnsi" w:cstheme="majorHAnsi"/>
          <w:sz w:val="24"/>
          <w:szCs w:val="24"/>
          <w:lang w:val="et-EE"/>
        </w:rPr>
        <w:t xml:space="preserve">usasutus </w:t>
      </w:r>
      <w:r w:rsidRPr="002C0028">
        <w:rPr>
          <w:rFonts w:asciiTheme="majorHAnsi" w:hAnsiTheme="majorHAnsi" w:cstheme="majorHAnsi"/>
          <w:sz w:val="24"/>
          <w:szCs w:val="24"/>
          <w:lang w:val="et-EE"/>
        </w:rPr>
        <w:t>võib küsida asjakohast hindamisaruannet</w:t>
      </w:r>
      <w:r>
        <w:rPr>
          <w:rStyle w:val="Allmrkuseviide"/>
          <w:rFonts w:asciiTheme="majorHAnsi" w:hAnsiTheme="majorHAnsi" w:cstheme="majorHAnsi"/>
          <w:sz w:val="24"/>
          <w:szCs w:val="24"/>
          <w:lang w:val="et-EE"/>
        </w:rPr>
        <w:footnoteReference w:id="2"/>
      </w:r>
      <w:r w:rsidRPr="002C0028">
        <w:rPr>
          <w:rFonts w:asciiTheme="majorHAnsi" w:hAnsiTheme="majorHAnsi" w:cstheme="majorHAnsi"/>
          <w:sz w:val="24"/>
          <w:szCs w:val="24"/>
          <w:lang w:val="et-EE"/>
        </w:rPr>
        <w:t>.</w:t>
      </w:r>
    </w:p>
    <w:p w14:paraId="24B756B4" w14:textId="77777777" w:rsidR="00C26AD6" w:rsidRPr="00A42FD6"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b/>
          <w:bCs/>
          <w:sz w:val="24"/>
          <w:szCs w:val="24"/>
          <w:lang w:val="et-EE"/>
        </w:rPr>
      </w:pPr>
      <w:r w:rsidRPr="00A42FD6">
        <w:rPr>
          <w:rFonts w:asciiTheme="majorHAnsi" w:hAnsiTheme="majorHAnsi" w:cstheme="majorHAnsi"/>
          <w:b/>
          <w:bCs/>
          <w:sz w:val="24"/>
          <w:szCs w:val="24"/>
          <w:lang w:val="et-EE"/>
        </w:rPr>
        <w:t>2. Taotletav eelarve</w:t>
      </w:r>
    </w:p>
    <w:p w14:paraId="28860D2F" w14:textId="4B5D100B" w:rsidR="00C26AD6" w:rsidRDefault="00C26AD6" w:rsidP="00C26AD6">
      <w:pPr>
        <w:pStyle w:val="Default"/>
        <w:spacing w:after="256"/>
        <w:ind w:left="420" w:hanging="420"/>
        <w:jc w:val="both"/>
        <w:rPr>
          <w:rFonts w:asciiTheme="majorHAnsi" w:hAnsiTheme="majorHAnsi" w:cstheme="majorHAnsi"/>
          <w:color w:val="auto"/>
        </w:rPr>
      </w:pPr>
      <w:r w:rsidRPr="008C6A9E">
        <w:rPr>
          <w:rFonts w:asciiTheme="majorHAnsi" w:hAnsiTheme="majorHAnsi" w:cstheme="majorHAnsi"/>
          <w:b/>
          <w:bCs/>
          <w:color w:val="auto"/>
        </w:rPr>
        <w:t>2.1</w:t>
      </w:r>
      <w:r w:rsidR="002D0DF1" w:rsidRPr="008C6A9E">
        <w:rPr>
          <w:rFonts w:asciiTheme="majorHAnsi" w:hAnsiTheme="majorHAnsi" w:cstheme="majorHAnsi"/>
          <w:b/>
          <w:bCs/>
          <w:color w:val="auto"/>
        </w:rPr>
        <w:t>.</w:t>
      </w:r>
      <w:r w:rsidRPr="001D4828">
        <w:rPr>
          <w:rFonts w:asciiTheme="majorHAnsi" w:hAnsiTheme="majorHAnsi" w:cstheme="majorHAnsi"/>
          <w:color w:val="auto"/>
        </w:rPr>
        <w:t xml:space="preserve"> </w:t>
      </w:r>
      <w:r>
        <w:rPr>
          <w:rFonts w:asciiTheme="majorHAnsi" w:hAnsiTheme="majorHAnsi" w:cstheme="majorHAnsi"/>
          <w:color w:val="auto"/>
        </w:rPr>
        <w:t xml:space="preserve">Taotleja peab esitama rahastusasutusele </w:t>
      </w:r>
      <w:r w:rsidR="008C6A9E">
        <w:rPr>
          <w:rFonts w:asciiTheme="majorHAnsi" w:hAnsiTheme="majorHAnsi" w:cstheme="majorHAnsi"/>
          <w:color w:val="auto"/>
        </w:rPr>
        <w:t xml:space="preserve">ülevaate prognoositavast </w:t>
      </w:r>
      <w:r>
        <w:rPr>
          <w:rFonts w:asciiTheme="majorHAnsi" w:hAnsiTheme="majorHAnsi" w:cstheme="majorHAnsi"/>
          <w:color w:val="auto"/>
        </w:rPr>
        <w:t>eelarve</w:t>
      </w:r>
      <w:r w:rsidR="008C6A9E">
        <w:rPr>
          <w:rFonts w:asciiTheme="majorHAnsi" w:hAnsiTheme="majorHAnsi" w:cstheme="majorHAnsi"/>
          <w:color w:val="auto"/>
        </w:rPr>
        <w:t>st</w:t>
      </w:r>
      <w:r>
        <w:rPr>
          <w:rFonts w:asciiTheme="majorHAnsi" w:hAnsiTheme="majorHAnsi" w:cstheme="majorHAnsi"/>
          <w:color w:val="auto"/>
        </w:rPr>
        <w:t xml:space="preserve">, kasutades selleks ette nähtud vormi. </w:t>
      </w:r>
    </w:p>
    <w:p w14:paraId="39B49D17" w14:textId="178F9FB5" w:rsidR="00C26AD6" w:rsidRPr="001D4828" w:rsidRDefault="00C26AD6" w:rsidP="00C26AD6">
      <w:pPr>
        <w:pStyle w:val="Default"/>
        <w:spacing w:after="256"/>
        <w:ind w:left="420"/>
        <w:jc w:val="both"/>
        <w:rPr>
          <w:rFonts w:asciiTheme="majorHAnsi" w:hAnsiTheme="majorHAnsi" w:cstheme="majorHAnsi"/>
          <w:color w:val="auto"/>
        </w:rPr>
      </w:pPr>
      <w:r w:rsidRPr="00011FEF">
        <w:rPr>
          <w:rFonts w:asciiTheme="majorHAnsi" w:hAnsiTheme="majorHAnsi" w:cstheme="majorHAnsi"/>
          <w:b/>
          <w:bCs/>
          <w:color w:val="auto"/>
        </w:rPr>
        <w:t>Teadustöö kulud</w:t>
      </w:r>
      <w:r w:rsidRPr="00011FEF">
        <w:rPr>
          <w:rFonts w:asciiTheme="majorHAnsi" w:hAnsiTheme="majorHAnsi" w:cstheme="majorHAnsi"/>
          <w:color w:val="auto"/>
        </w:rPr>
        <w:t xml:space="preserve"> koosnevad </w:t>
      </w:r>
      <w:r w:rsidRPr="00011FEF">
        <w:rPr>
          <w:rFonts w:asciiTheme="majorHAnsi" w:hAnsiTheme="majorHAnsi" w:cstheme="majorHAnsi"/>
          <w:b/>
          <w:bCs/>
          <w:color w:val="auto"/>
        </w:rPr>
        <w:t>otsekuludest</w:t>
      </w:r>
      <w:r w:rsidRPr="00011FEF">
        <w:rPr>
          <w:rFonts w:asciiTheme="majorHAnsi" w:hAnsiTheme="majorHAnsi" w:cstheme="majorHAnsi"/>
          <w:color w:val="auto"/>
        </w:rPr>
        <w:t xml:space="preserve">, </w:t>
      </w:r>
      <w:r w:rsidRPr="00011FEF">
        <w:rPr>
          <w:rFonts w:asciiTheme="majorHAnsi" w:hAnsiTheme="majorHAnsi" w:cstheme="majorHAnsi"/>
          <w:b/>
          <w:bCs/>
          <w:color w:val="auto"/>
        </w:rPr>
        <w:t>kaudsetest kuludest</w:t>
      </w:r>
      <w:r w:rsidRPr="00011FEF">
        <w:rPr>
          <w:rFonts w:asciiTheme="majorHAnsi" w:hAnsiTheme="majorHAnsi" w:cstheme="majorHAnsi"/>
          <w:color w:val="auto"/>
        </w:rPr>
        <w:t xml:space="preserve"> ja </w:t>
      </w:r>
      <w:r w:rsidRPr="00011FEF">
        <w:rPr>
          <w:rFonts w:asciiTheme="majorHAnsi" w:hAnsiTheme="majorHAnsi" w:cstheme="majorHAnsi"/>
          <w:b/>
          <w:bCs/>
          <w:color w:val="auto"/>
        </w:rPr>
        <w:t>alltöövõtu kuludest</w:t>
      </w:r>
      <w:r w:rsidRPr="00011FEF">
        <w:rPr>
          <w:rFonts w:asciiTheme="majorHAnsi" w:hAnsiTheme="majorHAnsi" w:cstheme="majorHAnsi"/>
          <w:color w:val="auto"/>
        </w:rPr>
        <w:t xml:space="preserve">. </w:t>
      </w:r>
      <w:r w:rsidRPr="001D4828">
        <w:rPr>
          <w:rFonts w:asciiTheme="majorHAnsi" w:hAnsiTheme="majorHAnsi" w:cstheme="majorHAnsi"/>
          <w:color w:val="auto"/>
        </w:rPr>
        <w:t xml:space="preserve">Teadustöö kulusid </w:t>
      </w:r>
      <w:r w:rsidR="008C6A9E">
        <w:rPr>
          <w:rFonts w:asciiTheme="majorHAnsi" w:hAnsiTheme="majorHAnsi" w:cstheme="majorHAnsi"/>
          <w:color w:val="auto"/>
        </w:rPr>
        <w:t xml:space="preserve">tuleb </w:t>
      </w:r>
      <w:r w:rsidRPr="001D4828">
        <w:rPr>
          <w:rFonts w:asciiTheme="majorHAnsi" w:hAnsiTheme="majorHAnsi" w:cstheme="majorHAnsi"/>
          <w:color w:val="auto"/>
        </w:rPr>
        <w:t>kasutada projekti läbiviimiseks ja need peavad olema eraldi tuvastatavad.</w:t>
      </w:r>
    </w:p>
    <w:p w14:paraId="60FB4D1A" w14:textId="15667F4D" w:rsidR="00C26AD6" w:rsidRPr="001D4828"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6D56D8">
        <w:rPr>
          <w:rFonts w:asciiTheme="majorHAnsi" w:hAnsiTheme="majorHAnsi" w:cstheme="majorHAnsi"/>
          <w:b/>
          <w:bCs/>
          <w:sz w:val="24"/>
          <w:szCs w:val="24"/>
          <w:lang w:val="et-EE"/>
        </w:rPr>
        <w:t>2.2</w:t>
      </w:r>
      <w:r w:rsidR="002D0DF1">
        <w:rPr>
          <w:rFonts w:asciiTheme="majorHAnsi" w:hAnsiTheme="majorHAnsi" w:cstheme="majorHAnsi"/>
          <w:b/>
          <w:bCs/>
          <w:sz w:val="24"/>
          <w:szCs w:val="24"/>
          <w:lang w:val="et-EE"/>
        </w:rPr>
        <w:t>.</w:t>
      </w:r>
      <w:r w:rsidRPr="001D4828">
        <w:rPr>
          <w:rFonts w:asciiTheme="majorHAnsi" w:hAnsiTheme="majorHAnsi" w:cstheme="majorHAnsi"/>
          <w:sz w:val="24"/>
          <w:szCs w:val="24"/>
          <w:lang w:val="et-EE"/>
        </w:rPr>
        <w:t xml:space="preserve"> </w:t>
      </w:r>
      <w:r w:rsidRPr="00011FEF">
        <w:rPr>
          <w:rFonts w:asciiTheme="majorHAnsi" w:hAnsiTheme="majorHAnsi" w:cstheme="majorHAnsi"/>
          <w:b/>
          <w:bCs/>
          <w:sz w:val="24"/>
          <w:szCs w:val="24"/>
          <w:lang w:val="et-EE"/>
        </w:rPr>
        <w:t xml:space="preserve">Otsekulud </w:t>
      </w:r>
    </w:p>
    <w:p w14:paraId="23C9BECE" w14:textId="01741F84" w:rsidR="00C26AD6" w:rsidRPr="008C6A9E" w:rsidRDefault="008C6A9E" w:rsidP="008C6A9E">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Pr>
          <w:rFonts w:asciiTheme="majorHAnsi" w:hAnsiTheme="majorHAnsi" w:cstheme="majorHAnsi"/>
          <w:b/>
          <w:bCs/>
          <w:sz w:val="24"/>
          <w:szCs w:val="24"/>
          <w:lang w:val="et-EE"/>
        </w:rPr>
        <w:t xml:space="preserve">2.2.1. </w:t>
      </w:r>
      <w:r w:rsidR="00C26AD6" w:rsidRPr="008C6A9E">
        <w:rPr>
          <w:rFonts w:asciiTheme="majorHAnsi" w:hAnsiTheme="majorHAnsi" w:cstheme="majorHAnsi"/>
          <w:b/>
          <w:bCs/>
          <w:sz w:val="24"/>
          <w:szCs w:val="24"/>
          <w:lang w:val="et-EE"/>
        </w:rPr>
        <w:t xml:space="preserve">Personalikuludeks </w:t>
      </w:r>
      <w:r w:rsidR="00C26AD6" w:rsidRPr="008C6A9E">
        <w:rPr>
          <w:rFonts w:asciiTheme="majorHAnsi" w:hAnsiTheme="majorHAnsi" w:cstheme="majorHAnsi"/>
          <w:sz w:val="24"/>
          <w:szCs w:val="24"/>
          <w:lang w:val="et-EE"/>
        </w:rPr>
        <w:t xml:space="preserve">on projektis osalejate töötasu koos sotsiaalkindlustusmaksetega ja seadusest tulenevate muude kohustustega, mis arvutatakse vastavalt isiku panusele ning on proportsioonis osaleja kogu töökoormusega vastuvõtvas asutuses.  </w:t>
      </w:r>
      <w:r w:rsidR="00C26AD6" w:rsidRPr="00370DC9">
        <w:rPr>
          <w:rFonts w:asciiTheme="majorHAnsi" w:hAnsiTheme="majorHAnsi" w:cstheme="majorHAnsi"/>
          <w:b/>
          <w:bCs/>
          <w:sz w:val="24"/>
          <w:szCs w:val="24"/>
          <w:lang w:val="et-EE"/>
        </w:rPr>
        <w:t>NB!</w:t>
      </w:r>
      <w:r w:rsidR="00C26AD6" w:rsidRPr="008C6A9E">
        <w:rPr>
          <w:rFonts w:asciiTheme="majorHAnsi" w:hAnsiTheme="majorHAnsi" w:cstheme="majorHAnsi"/>
          <w:sz w:val="24"/>
          <w:szCs w:val="24"/>
          <w:lang w:val="et-EE"/>
        </w:rPr>
        <w:t xml:space="preserve"> Stipendiumid ei ole abikõlblikud. </w:t>
      </w:r>
    </w:p>
    <w:p w14:paraId="0DA9AEF2" w14:textId="084423EA" w:rsidR="00C26AD6" w:rsidRPr="008C6A9E" w:rsidRDefault="008C6A9E" w:rsidP="008C6A9E">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Pr>
          <w:rFonts w:asciiTheme="majorHAnsi" w:hAnsiTheme="majorHAnsi" w:cstheme="majorHAnsi"/>
          <w:b/>
          <w:bCs/>
          <w:sz w:val="24"/>
          <w:szCs w:val="24"/>
          <w:lang w:val="et-EE"/>
        </w:rPr>
        <w:t xml:space="preserve">2.2.2. </w:t>
      </w:r>
      <w:r w:rsidR="00C26AD6" w:rsidRPr="008C6A9E">
        <w:rPr>
          <w:rFonts w:asciiTheme="majorHAnsi" w:hAnsiTheme="majorHAnsi" w:cstheme="majorHAnsi"/>
          <w:b/>
          <w:bCs/>
          <w:sz w:val="24"/>
          <w:szCs w:val="24"/>
          <w:lang w:val="et-EE"/>
        </w:rPr>
        <w:t>Reisikuludest</w:t>
      </w:r>
      <w:r w:rsidR="00C26AD6" w:rsidRPr="008C6A9E">
        <w:rPr>
          <w:rFonts w:asciiTheme="majorHAnsi" w:hAnsiTheme="majorHAnsi" w:cstheme="majorHAnsi"/>
          <w:sz w:val="24"/>
          <w:szCs w:val="24"/>
          <w:lang w:val="et-EE"/>
        </w:rPr>
        <w:t xml:space="preserve"> võib katta transpordi- ja majutuskulud, lähetuse päevaraha ning reisikindlustuse.  </w:t>
      </w:r>
    </w:p>
    <w:p w14:paraId="41A91FAE" w14:textId="5C0BBE8E" w:rsidR="00C26AD6" w:rsidRPr="008C6A9E" w:rsidRDefault="008C6A9E" w:rsidP="008C6A9E">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Pr>
          <w:rFonts w:asciiTheme="majorHAnsi" w:hAnsiTheme="majorHAnsi" w:cstheme="majorHAnsi"/>
          <w:b/>
          <w:bCs/>
          <w:sz w:val="24"/>
          <w:szCs w:val="24"/>
          <w:lang w:val="et-EE"/>
        </w:rPr>
        <w:lastRenderedPageBreak/>
        <w:t xml:space="preserve">2.2.3.    </w:t>
      </w:r>
      <w:r w:rsidR="00C26AD6" w:rsidRPr="008C6A9E">
        <w:rPr>
          <w:rFonts w:asciiTheme="majorHAnsi" w:hAnsiTheme="majorHAnsi" w:cstheme="majorHAnsi"/>
          <w:b/>
          <w:bCs/>
          <w:sz w:val="24"/>
          <w:szCs w:val="24"/>
          <w:lang w:val="et-EE"/>
        </w:rPr>
        <w:t>Muud otsekulud</w:t>
      </w:r>
      <w:r w:rsidR="00C26AD6" w:rsidRPr="008C6A9E">
        <w:rPr>
          <w:rFonts w:asciiTheme="majorHAnsi" w:hAnsiTheme="majorHAnsi" w:cstheme="majorHAnsi"/>
          <w:sz w:val="24"/>
          <w:szCs w:val="24"/>
          <w:lang w:val="et-EE"/>
        </w:rPr>
        <w:t xml:space="preserve"> on:</w:t>
      </w:r>
    </w:p>
    <w:p w14:paraId="10311EAB" w14:textId="77777777" w:rsidR="00C26AD6" w:rsidRPr="00370DC9" w:rsidRDefault="00C26AD6" w:rsidP="00370DC9">
      <w:pPr>
        <w:pStyle w:val="Loendilik"/>
        <w:numPr>
          <w:ilvl w:val="0"/>
          <w:numId w:val="5"/>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jc w:val="both"/>
        <w:rPr>
          <w:rFonts w:asciiTheme="majorHAnsi" w:hAnsiTheme="majorHAnsi" w:cstheme="majorHAnsi"/>
          <w:sz w:val="24"/>
          <w:szCs w:val="24"/>
          <w:lang w:val="et-EE"/>
        </w:rPr>
      </w:pPr>
      <w:r w:rsidRPr="00370DC9">
        <w:rPr>
          <w:rFonts w:asciiTheme="majorHAnsi" w:hAnsiTheme="majorHAnsi" w:cstheme="majorHAnsi"/>
          <w:sz w:val="24"/>
          <w:szCs w:val="24"/>
          <w:lang w:val="et-EE"/>
        </w:rPr>
        <w:t>projektiga seotud kulumaterjalid ja väiksemad seadmed;</w:t>
      </w:r>
    </w:p>
    <w:p w14:paraId="47725266" w14:textId="77777777" w:rsidR="00C26AD6" w:rsidRPr="00370DC9" w:rsidRDefault="00C26AD6" w:rsidP="00370DC9">
      <w:pPr>
        <w:pStyle w:val="Loendilik"/>
        <w:numPr>
          <w:ilvl w:val="0"/>
          <w:numId w:val="5"/>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jc w:val="both"/>
        <w:rPr>
          <w:rFonts w:asciiTheme="majorHAnsi" w:hAnsiTheme="majorHAnsi" w:cstheme="majorHAnsi"/>
          <w:sz w:val="24"/>
          <w:szCs w:val="24"/>
          <w:lang w:val="et-EE"/>
        </w:rPr>
      </w:pPr>
      <w:r w:rsidRPr="00370DC9">
        <w:rPr>
          <w:rFonts w:asciiTheme="majorHAnsi" w:hAnsiTheme="majorHAnsi" w:cstheme="majorHAnsi"/>
          <w:sz w:val="24"/>
          <w:szCs w:val="24"/>
          <w:lang w:val="et-EE"/>
        </w:rPr>
        <w:t>projekti tulemuste avaldamine ja levitamine;</w:t>
      </w:r>
    </w:p>
    <w:p w14:paraId="07CFE973" w14:textId="77777777" w:rsidR="00C26AD6" w:rsidRPr="00370DC9" w:rsidRDefault="00C26AD6" w:rsidP="00370DC9">
      <w:pPr>
        <w:pStyle w:val="Loendilik"/>
        <w:numPr>
          <w:ilvl w:val="0"/>
          <w:numId w:val="5"/>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rPr>
          <w:rFonts w:asciiTheme="majorHAnsi" w:hAnsiTheme="majorHAnsi" w:cstheme="majorHAnsi"/>
          <w:sz w:val="24"/>
          <w:szCs w:val="24"/>
          <w:lang w:val="et-EE"/>
        </w:rPr>
      </w:pPr>
      <w:r w:rsidRPr="00370DC9">
        <w:rPr>
          <w:rFonts w:asciiTheme="majorHAnsi" w:hAnsiTheme="majorHAnsi" w:cstheme="majorHAnsi"/>
          <w:sz w:val="24"/>
          <w:szCs w:val="24"/>
          <w:lang w:val="et-EE"/>
        </w:rPr>
        <w:t xml:space="preserve">koosolekute, seminaride ja konverentside korraldamine (ruumide rentimine, toitlustus); </w:t>
      </w:r>
    </w:p>
    <w:p w14:paraId="4E3BA4D0" w14:textId="77777777" w:rsidR="00C26AD6" w:rsidRPr="00370DC9" w:rsidRDefault="00C26AD6" w:rsidP="00370DC9">
      <w:pPr>
        <w:pStyle w:val="Loendilik"/>
        <w:numPr>
          <w:ilvl w:val="0"/>
          <w:numId w:val="5"/>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rPr>
          <w:rFonts w:asciiTheme="majorHAnsi" w:hAnsiTheme="majorHAnsi" w:cstheme="majorHAnsi"/>
          <w:sz w:val="24"/>
          <w:szCs w:val="24"/>
          <w:lang w:val="et-EE"/>
        </w:rPr>
      </w:pPr>
      <w:r w:rsidRPr="00370DC9">
        <w:rPr>
          <w:rFonts w:asciiTheme="majorHAnsi" w:hAnsiTheme="majorHAnsi" w:cstheme="majorHAnsi"/>
          <w:sz w:val="24"/>
          <w:szCs w:val="24"/>
          <w:lang w:val="et-EE"/>
        </w:rPr>
        <w:t>teadusfoorumite, konverentside ja teiste projektiga seotud ürituste osalustasud;</w:t>
      </w:r>
    </w:p>
    <w:p w14:paraId="612E96B4" w14:textId="77777777" w:rsidR="00C26AD6" w:rsidRPr="00370DC9" w:rsidRDefault="00C26AD6" w:rsidP="00370DC9">
      <w:pPr>
        <w:pStyle w:val="Loendilik"/>
        <w:numPr>
          <w:ilvl w:val="0"/>
          <w:numId w:val="5"/>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rPr>
          <w:rFonts w:asciiTheme="majorHAnsi" w:hAnsiTheme="majorHAnsi" w:cstheme="majorHAnsi"/>
          <w:sz w:val="24"/>
          <w:szCs w:val="24"/>
          <w:lang w:val="et-EE"/>
        </w:rPr>
      </w:pPr>
      <w:r w:rsidRPr="00370DC9">
        <w:rPr>
          <w:rFonts w:asciiTheme="majorHAnsi" w:hAnsiTheme="majorHAnsi" w:cstheme="majorHAnsi"/>
          <w:sz w:val="24"/>
          <w:szCs w:val="24"/>
          <w:lang w:val="et-EE"/>
        </w:rPr>
        <w:t>patenditasud;</w:t>
      </w:r>
    </w:p>
    <w:p w14:paraId="53585ABF" w14:textId="654160D2" w:rsidR="00C26AD6" w:rsidRPr="00370DC9" w:rsidRDefault="00C26AD6" w:rsidP="00370DC9">
      <w:pPr>
        <w:pStyle w:val="Loendilik"/>
        <w:numPr>
          <w:ilvl w:val="0"/>
          <w:numId w:val="5"/>
        </w:numPr>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rPr>
          <w:rFonts w:asciiTheme="majorHAnsi" w:hAnsiTheme="majorHAnsi" w:cstheme="majorHAnsi"/>
          <w:sz w:val="24"/>
          <w:szCs w:val="24"/>
          <w:lang w:val="et-EE"/>
        </w:rPr>
      </w:pPr>
      <w:r w:rsidRPr="00370DC9">
        <w:rPr>
          <w:rFonts w:asciiTheme="majorHAnsi" w:hAnsiTheme="majorHAnsi" w:cstheme="majorHAnsi"/>
          <w:sz w:val="24"/>
          <w:szCs w:val="24"/>
          <w:lang w:val="et-EE"/>
        </w:rPr>
        <w:t>kõik muud kulud, mis on vajalikud projekti läbiviimiseks (nt tõlkimine, redigeerimine, veebilehega seotud kulud jne) ja mis vastavad abikõlblikele kuludele.</w:t>
      </w:r>
    </w:p>
    <w:p w14:paraId="7F9E25AD" w14:textId="77777777" w:rsidR="00C26AD6" w:rsidRPr="001D4828" w:rsidRDefault="00C26AD6" w:rsidP="00C26AD6">
      <w:pPr>
        <w:pStyle w:val="Loendilik"/>
        <w:tabs>
          <w:tab w:val="left" w:pos="720"/>
          <w:tab w:val="left" w:pos="1440"/>
          <w:tab w:val="left" w:pos="2160"/>
          <w:tab w:val="left" w:pos="2268"/>
          <w:tab w:val="left" w:pos="3600"/>
          <w:tab w:val="left" w:pos="4320"/>
          <w:tab w:val="left" w:pos="5040"/>
          <w:tab w:val="left" w:pos="5760"/>
          <w:tab w:val="left" w:pos="6480"/>
          <w:tab w:val="left" w:pos="7200"/>
          <w:tab w:val="left" w:pos="7920"/>
          <w:tab w:val="left" w:pos="8640"/>
        </w:tabs>
        <w:ind w:left="1800"/>
        <w:rPr>
          <w:rFonts w:asciiTheme="majorHAnsi" w:hAnsiTheme="majorHAnsi" w:cstheme="majorHAnsi"/>
          <w:sz w:val="24"/>
          <w:szCs w:val="24"/>
          <w:lang w:val="et-EE"/>
        </w:rPr>
      </w:pPr>
    </w:p>
    <w:p w14:paraId="71186B4F" w14:textId="7279CAAD" w:rsidR="00C26AD6" w:rsidRPr="001D4828" w:rsidRDefault="008C6A9E" w:rsidP="008C6A9E">
      <w:pPr>
        <w:pStyle w:val="Default"/>
        <w:spacing w:after="240"/>
        <w:jc w:val="both"/>
        <w:rPr>
          <w:rFonts w:asciiTheme="majorHAnsi" w:hAnsiTheme="majorHAnsi" w:cstheme="majorHAnsi"/>
          <w:color w:val="auto"/>
        </w:rPr>
      </w:pPr>
      <w:r>
        <w:rPr>
          <w:rFonts w:asciiTheme="majorHAnsi" w:hAnsiTheme="majorHAnsi" w:cstheme="majorHAnsi"/>
          <w:b/>
          <w:bCs/>
          <w:color w:val="auto"/>
        </w:rPr>
        <w:t xml:space="preserve">2.3. </w:t>
      </w:r>
      <w:r w:rsidR="00C26AD6" w:rsidRPr="00067541">
        <w:rPr>
          <w:rFonts w:asciiTheme="majorHAnsi" w:hAnsiTheme="majorHAnsi" w:cstheme="majorHAnsi"/>
          <w:b/>
          <w:bCs/>
          <w:color w:val="auto"/>
        </w:rPr>
        <w:t>Alltöövõtt</w:t>
      </w:r>
      <w:r w:rsidR="00C26AD6">
        <w:rPr>
          <w:rFonts w:asciiTheme="majorHAnsi" w:hAnsiTheme="majorHAnsi" w:cstheme="majorHAnsi"/>
          <w:color w:val="auto"/>
        </w:rPr>
        <w:t xml:space="preserve"> peaks puudutama</w:t>
      </w:r>
      <w:r w:rsidR="00C26AD6" w:rsidRPr="001D4828">
        <w:rPr>
          <w:rFonts w:asciiTheme="majorHAnsi" w:hAnsiTheme="majorHAnsi" w:cstheme="majorHAnsi"/>
          <w:color w:val="auto"/>
        </w:rPr>
        <w:t xml:space="preserve"> ainult täiendava</w:t>
      </w:r>
      <w:r w:rsidR="00C26AD6">
        <w:rPr>
          <w:rFonts w:asciiTheme="majorHAnsi" w:hAnsiTheme="majorHAnsi" w:cstheme="majorHAnsi"/>
          <w:color w:val="auto"/>
        </w:rPr>
        <w:t>i</w:t>
      </w:r>
      <w:r w:rsidR="00C26AD6" w:rsidRPr="001D4828">
        <w:rPr>
          <w:rFonts w:asciiTheme="majorHAnsi" w:hAnsiTheme="majorHAnsi" w:cstheme="majorHAnsi"/>
          <w:color w:val="auto"/>
        </w:rPr>
        <w:t>d tegevus</w:t>
      </w:r>
      <w:r w:rsidR="00C26AD6">
        <w:rPr>
          <w:rFonts w:asciiTheme="majorHAnsi" w:hAnsiTheme="majorHAnsi" w:cstheme="majorHAnsi"/>
          <w:color w:val="auto"/>
        </w:rPr>
        <w:t>i</w:t>
      </w:r>
      <w:r w:rsidR="00C26AD6" w:rsidRPr="001D4828">
        <w:rPr>
          <w:rFonts w:asciiTheme="majorHAnsi" w:hAnsiTheme="majorHAnsi" w:cstheme="majorHAnsi"/>
          <w:color w:val="auto"/>
        </w:rPr>
        <w:t xml:space="preserve"> (nt analüüside tegemine, küsitluste</w:t>
      </w:r>
      <w:r>
        <w:rPr>
          <w:rFonts w:asciiTheme="majorHAnsi" w:hAnsiTheme="majorHAnsi" w:cstheme="majorHAnsi"/>
          <w:color w:val="auto"/>
        </w:rPr>
        <w:t xml:space="preserve"> </w:t>
      </w:r>
      <w:r w:rsidR="00C26AD6" w:rsidRPr="001D4828">
        <w:rPr>
          <w:rFonts w:asciiTheme="majorHAnsi" w:hAnsiTheme="majorHAnsi" w:cstheme="majorHAnsi"/>
          <w:color w:val="auto"/>
        </w:rPr>
        <w:t>läbiviimine, prototüübi koostamine jne)</w:t>
      </w:r>
      <w:r w:rsidR="00F707CB">
        <w:rPr>
          <w:rFonts w:asciiTheme="majorHAnsi" w:hAnsiTheme="majorHAnsi" w:cstheme="majorHAnsi"/>
          <w:color w:val="auto"/>
        </w:rPr>
        <w:t>, mille viivad läbi kolmandad osapooled</w:t>
      </w:r>
      <w:r w:rsidR="00C26AD6" w:rsidRPr="001D4828">
        <w:rPr>
          <w:rFonts w:asciiTheme="majorHAnsi" w:hAnsiTheme="majorHAnsi" w:cstheme="majorHAnsi"/>
          <w:color w:val="auto"/>
        </w:rPr>
        <w:t xml:space="preserve">. Taotluses tuleb täpselt kirjeldada kolmandate osapoolte poolt läbiviidavaid tegevusi ning eelarvet. </w:t>
      </w:r>
      <w:r w:rsidR="00F707CB">
        <w:rPr>
          <w:rFonts w:asciiTheme="majorHAnsi" w:hAnsiTheme="majorHAnsi" w:cstheme="majorHAnsi"/>
          <w:color w:val="auto"/>
        </w:rPr>
        <w:t>Alltöövõtja ei tohiks täita projekti põhiülesandeid</w:t>
      </w:r>
      <w:r w:rsidR="00F707CB" w:rsidRPr="001D4828">
        <w:rPr>
          <w:rFonts w:asciiTheme="majorHAnsi" w:hAnsiTheme="majorHAnsi" w:cstheme="majorHAnsi"/>
          <w:color w:val="auto"/>
        </w:rPr>
        <w:t>.</w:t>
      </w:r>
      <w:r w:rsidR="00F707CB">
        <w:rPr>
          <w:rFonts w:asciiTheme="majorHAnsi" w:hAnsiTheme="majorHAnsi" w:cstheme="majorHAnsi"/>
          <w:color w:val="auto"/>
        </w:rPr>
        <w:t xml:space="preserve"> </w:t>
      </w:r>
      <w:r w:rsidR="00F707CB" w:rsidRPr="001D4828">
        <w:rPr>
          <w:rFonts w:asciiTheme="majorHAnsi" w:hAnsiTheme="majorHAnsi" w:cstheme="majorHAnsi"/>
          <w:color w:val="auto"/>
        </w:rPr>
        <w:t xml:space="preserve">Alltöövõtu kulud ei tohi ületada </w:t>
      </w:r>
      <w:r w:rsidR="00F707CB" w:rsidRPr="00F707CB">
        <w:rPr>
          <w:rFonts w:asciiTheme="majorHAnsi" w:hAnsiTheme="majorHAnsi" w:cstheme="majorHAnsi"/>
          <w:b/>
          <w:bCs/>
          <w:color w:val="auto"/>
        </w:rPr>
        <w:t>15%</w:t>
      </w:r>
      <w:r w:rsidR="00F707CB" w:rsidRPr="001D4828">
        <w:rPr>
          <w:rFonts w:asciiTheme="majorHAnsi" w:hAnsiTheme="majorHAnsi" w:cstheme="majorHAnsi"/>
          <w:color w:val="auto"/>
        </w:rPr>
        <w:t xml:space="preserve"> </w:t>
      </w:r>
      <w:r w:rsidR="00F707CB" w:rsidRPr="005F5ABA">
        <w:rPr>
          <w:rFonts w:asciiTheme="majorHAnsi" w:hAnsiTheme="majorHAnsi" w:cstheme="majorHAnsi"/>
          <w:b/>
          <w:bCs/>
          <w:color w:val="auto"/>
        </w:rPr>
        <w:t xml:space="preserve">kogu taotletud eelarvest </w:t>
      </w:r>
      <w:r w:rsidR="00F707CB">
        <w:rPr>
          <w:rFonts w:asciiTheme="majorHAnsi" w:hAnsiTheme="majorHAnsi" w:cstheme="majorHAnsi"/>
          <w:color w:val="auto"/>
        </w:rPr>
        <w:t>ning neid ei arvestata kaudsete kulude (üldkulu)</w:t>
      </w:r>
      <w:r w:rsidR="00F707CB" w:rsidRPr="001D4828">
        <w:rPr>
          <w:rFonts w:asciiTheme="majorHAnsi" w:hAnsiTheme="majorHAnsi" w:cstheme="majorHAnsi"/>
          <w:color w:val="auto"/>
        </w:rPr>
        <w:t xml:space="preserve"> arvutamisel.</w:t>
      </w:r>
    </w:p>
    <w:p w14:paraId="50D9B381" w14:textId="1E0EF649" w:rsidR="00C26AD6" w:rsidRPr="001D4828" w:rsidRDefault="00370DC9" w:rsidP="00370DC9">
      <w:pPr>
        <w:pStyle w:val="Default"/>
        <w:spacing w:after="240"/>
        <w:ind w:left="397" w:hanging="397"/>
        <w:jc w:val="both"/>
        <w:rPr>
          <w:rFonts w:asciiTheme="majorHAnsi" w:hAnsiTheme="majorHAnsi" w:cstheme="majorHAnsi"/>
          <w:color w:val="auto"/>
        </w:rPr>
      </w:pPr>
      <w:r>
        <w:rPr>
          <w:rFonts w:asciiTheme="majorHAnsi" w:hAnsiTheme="majorHAnsi" w:cstheme="majorHAnsi"/>
          <w:b/>
          <w:bCs/>
          <w:color w:val="auto"/>
        </w:rPr>
        <w:t xml:space="preserve">2.4. </w:t>
      </w:r>
      <w:r w:rsidR="00C26AD6" w:rsidRPr="00067541">
        <w:rPr>
          <w:rFonts w:asciiTheme="majorHAnsi" w:hAnsiTheme="majorHAnsi" w:cstheme="majorHAnsi"/>
          <w:b/>
          <w:bCs/>
          <w:color w:val="auto"/>
        </w:rPr>
        <w:t>Kaudsed kulud</w:t>
      </w:r>
      <w:r w:rsidR="00C26AD6" w:rsidRPr="001D4828">
        <w:rPr>
          <w:rFonts w:asciiTheme="majorHAnsi" w:hAnsiTheme="majorHAnsi" w:cstheme="majorHAnsi"/>
          <w:color w:val="auto"/>
        </w:rPr>
        <w:t xml:space="preserve"> ei tohi ületada </w:t>
      </w:r>
      <w:r w:rsidR="00C26AD6" w:rsidRPr="005F5ABA">
        <w:rPr>
          <w:rFonts w:asciiTheme="majorHAnsi" w:hAnsiTheme="majorHAnsi" w:cstheme="majorHAnsi"/>
          <w:b/>
          <w:bCs/>
          <w:color w:val="auto"/>
        </w:rPr>
        <w:t xml:space="preserve">15% </w:t>
      </w:r>
      <w:r w:rsidR="005F5ABA">
        <w:rPr>
          <w:rFonts w:asciiTheme="majorHAnsi" w:hAnsiTheme="majorHAnsi" w:cstheme="majorHAnsi"/>
          <w:b/>
          <w:bCs/>
          <w:color w:val="auto"/>
        </w:rPr>
        <w:t xml:space="preserve">taotletud </w:t>
      </w:r>
      <w:r w:rsidR="00C26AD6" w:rsidRPr="005F5ABA">
        <w:rPr>
          <w:rFonts w:asciiTheme="majorHAnsi" w:hAnsiTheme="majorHAnsi" w:cstheme="majorHAnsi"/>
          <w:b/>
          <w:bCs/>
          <w:color w:val="auto"/>
        </w:rPr>
        <w:t>personalikuludest</w:t>
      </w:r>
      <w:r>
        <w:rPr>
          <w:rFonts w:asciiTheme="majorHAnsi" w:hAnsiTheme="majorHAnsi" w:cstheme="majorHAnsi"/>
          <w:color w:val="auto"/>
        </w:rPr>
        <w:t xml:space="preserve"> j</w:t>
      </w:r>
      <w:r w:rsidR="00C26AD6" w:rsidRPr="001D4828">
        <w:rPr>
          <w:rFonts w:asciiTheme="majorHAnsi" w:hAnsiTheme="majorHAnsi" w:cstheme="majorHAnsi"/>
          <w:color w:val="auto"/>
        </w:rPr>
        <w:t>a need pea</w:t>
      </w:r>
      <w:r w:rsidR="00C26AD6">
        <w:rPr>
          <w:rFonts w:asciiTheme="majorHAnsi" w:hAnsiTheme="majorHAnsi" w:cstheme="majorHAnsi"/>
          <w:color w:val="auto"/>
        </w:rPr>
        <w:t>vad</w:t>
      </w:r>
      <w:r w:rsidR="00C26AD6" w:rsidRPr="001D4828">
        <w:rPr>
          <w:rFonts w:asciiTheme="majorHAnsi" w:hAnsiTheme="majorHAnsi" w:cstheme="majorHAnsi"/>
          <w:color w:val="auto"/>
        </w:rPr>
        <w:t xml:space="preserve"> katma vastuvõtva asutuse üldkulud. </w:t>
      </w:r>
      <w:r w:rsidR="005F5ABA">
        <w:rPr>
          <w:rFonts w:asciiTheme="majorHAnsi" w:hAnsiTheme="majorHAnsi" w:cstheme="majorHAnsi"/>
          <w:color w:val="auto"/>
        </w:rPr>
        <w:t>Kaudsetest kuludest (üldkuludest) tuleks katta a</w:t>
      </w:r>
      <w:r w:rsidR="00C26AD6" w:rsidRPr="001D4828">
        <w:rPr>
          <w:rFonts w:asciiTheme="majorHAnsi" w:hAnsiTheme="majorHAnsi" w:cstheme="majorHAnsi"/>
          <w:color w:val="auto"/>
        </w:rPr>
        <w:t>valikuks kasutamiseks mõeldud seadmete ja teenuste</w:t>
      </w:r>
      <w:r w:rsidR="005F5ABA">
        <w:rPr>
          <w:rFonts w:asciiTheme="majorHAnsi" w:hAnsiTheme="majorHAnsi" w:cstheme="majorHAnsi"/>
          <w:color w:val="auto"/>
        </w:rPr>
        <w:t xml:space="preserve"> kulud </w:t>
      </w:r>
      <w:r w:rsidR="00C26AD6" w:rsidRPr="001D4828">
        <w:rPr>
          <w:rFonts w:asciiTheme="majorHAnsi" w:hAnsiTheme="majorHAnsi" w:cstheme="majorHAnsi"/>
          <w:color w:val="auto"/>
        </w:rPr>
        <w:t xml:space="preserve">(avalikult kasutatav koopiamasin või printer, telefoniarved, kopeerimisteenus jne). </w:t>
      </w:r>
    </w:p>
    <w:p w14:paraId="4AC834CE" w14:textId="3C91A437" w:rsidR="00C26AD6" w:rsidRDefault="005F5ABA" w:rsidP="005F5ABA">
      <w:pPr>
        <w:pStyle w:val="Default"/>
        <w:spacing w:after="240"/>
        <w:rPr>
          <w:rFonts w:asciiTheme="majorHAnsi" w:hAnsiTheme="majorHAnsi" w:cstheme="majorHAnsi"/>
          <w:color w:val="auto"/>
        </w:rPr>
      </w:pPr>
      <w:r w:rsidRPr="005F5ABA">
        <w:rPr>
          <w:rFonts w:asciiTheme="majorHAnsi" w:hAnsiTheme="majorHAnsi" w:cstheme="majorHAnsi"/>
          <w:b/>
          <w:bCs/>
          <w:color w:val="auto"/>
        </w:rPr>
        <w:t>2.5.</w:t>
      </w:r>
      <w:r w:rsidR="00370DC9">
        <w:rPr>
          <w:rFonts w:asciiTheme="majorHAnsi" w:hAnsiTheme="majorHAnsi" w:cstheme="majorHAnsi"/>
          <w:color w:val="auto"/>
        </w:rPr>
        <w:t xml:space="preserve"> </w:t>
      </w:r>
      <w:r w:rsidR="00C26AD6" w:rsidRPr="001D4828">
        <w:rPr>
          <w:rFonts w:asciiTheme="majorHAnsi" w:hAnsiTheme="majorHAnsi" w:cstheme="majorHAnsi"/>
          <w:color w:val="auto"/>
        </w:rPr>
        <w:t xml:space="preserve">Tegevuste </w:t>
      </w:r>
      <w:proofErr w:type="spellStart"/>
      <w:r w:rsidRPr="00067541">
        <w:rPr>
          <w:rFonts w:asciiTheme="majorHAnsi" w:hAnsiTheme="majorHAnsi" w:cstheme="majorHAnsi"/>
          <w:b/>
          <w:bCs/>
          <w:color w:val="auto"/>
        </w:rPr>
        <w:t>topeltrahastamine</w:t>
      </w:r>
      <w:proofErr w:type="spellEnd"/>
      <w:r w:rsidR="00C26AD6" w:rsidRPr="001D4828">
        <w:rPr>
          <w:rFonts w:asciiTheme="majorHAnsi" w:hAnsiTheme="majorHAnsi" w:cstheme="majorHAnsi"/>
          <w:color w:val="auto"/>
        </w:rPr>
        <w:t xml:space="preserve"> </w:t>
      </w:r>
      <w:r w:rsidR="00C26AD6">
        <w:rPr>
          <w:rFonts w:asciiTheme="majorHAnsi" w:hAnsiTheme="majorHAnsi" w:cstheme="majorHAnsi"/>
          <w:color w:val="auto"/>
        </w:rPr>
        <w:t>on keelatud</w:t>
      </w:r>
      <w:r w:rsidR="00C26AD6" w:rsidRPr="001D4828">
        <w:rPr>
          <w:rFonts w:asciiTheme="majorHAnsi" w:hAnsiTheme="majorHAnsi" w:cstheme="majorHAnsi"/>
          <w:color w:val="auto"/>
        </w:rPr>
        <w:t>.</w:t>
      </w:r>
    </w:p>
    <w:p w14:paraId="7037BDF8" w14:textId="3B6C198B" w:rsidR="005F5ABA" w:rsidRPr="001D4828" w:rsidRDefault="005F5ABA" w:rsidP="005F5ABA">
      <w:pPr>
        <w:pStyle w:val="Default"/>
        <w:spacing w:after="240"/>
        <w:jc w:val="both"/>
        <w:rPr>
          <w:rFonts w:asciiTheme="majorHAnsi" w:hAnsiTheme="majorHAnsi" w:cstheme="majorHAnsi"/>
          <w:color w:val="auto"/>
        </w:rPr>
      </w:pPr>
      <w:r w:rsidRPr="005F5ABA">
        <w:rPr>
          <w:rFonts w:asciiTheme="majorHAnsi" w:hAnsiTheme="majorHAnsi" w:cstheme="majorHAnsi"/>
          <w:b/>
          <w:bCs/>
          <w:color w:val="auto"/>
        </w:rPr>
        <w:t>2.6.</w:t>
      </w:r>
      <w:r>
        <w:rPr>
          <w:rFonts w:asciiTheme="majorHAnsi" w:hAnsiTheme="majorHAnsi" w:cstheme="majorHAnsi"/>
          <w:color w:val="auto"/>
        </w:rPr>
        <w:t xml:space="preserve"> Juhul kui ühes taotluses osaleb mitu Eesti asutust, ei tohi nende taotletud eelarvete summa ületada</w:t>
      </w:r>
      <w:r w:rsidR="005C0781">
        <w:rPr>
          <w:rFonts w:asciiTheme="majorHAnsi" w:hAnsiTheme="majorHAnsi" w:cstheme="majorHAnsi"/>
          <w:color w:val="auto"/>
        </w:rPr>
        <w:t xml:space="preserve"> maksimumsummat, mille ulatuses</w:t>
      </w:r>
      <w:r>
        <w:rPr>
          <w:rFonts w:asciiTheme="majorHAnsi" w:hAnsiTheme="majorHAnsi" w:cstheme="majorHAnsi"/>
          <w:color w:val="auto"/>
        </w:rPr>
        <w:t xml:space="preserve"> rahastusasutus</w:t>
      </w:r>
      <w:r w:rsidR="005C0781">
        <w:rPr>
          <w:rFonts w:asciiTheme="majorHAnsi" w:hAnsiTheme="majorHAnsi" w:cstheme="majorHAnsi"/>
          <w:color w:val="auto"/>
        </w:rPr>
        <w:t xml:space="preserve"> vastavat taotlusvooru rahastab ja mille suurus on konkursi</w:t>
      </w:r>
      <w:r w:rsidR="003D368D">
        <w:rPr>
          <w:rFonts w:asciiTheme="majorHAnsi" w:hAnsiTheme="majorHAnsi" w:cstheme="majorHAnsi"/>
          <w:color w:val="auto"/>
        </w:rPr>
        <w:t>teates</w:t>
      </w:r>
      <w:r w:rsidR="005C0781">
        <w:rPr>
          <w:rFonts w:asciiTheme="majorHAnsi" w:hAnsiTheme="majorHAnsi" w:cstheme="majorHAnsi"/>
          <w:color w:val="auto"/>
        </w:rPr>
        <w:t xml:space="preserve"> välja toodud.  </w:t>
      </w:r>
    </w:p>
    <w:p w14:paraId="7D9E8D9C"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b/>
          <w:bCs/>
          <w:sz w:val="24"/>
          <w:szCs w:val="24"/>
          <w:lang w:val="et-EE"/>
        </w:rPr>
      </w:pPr>
      <w:r w:rsidRPr="00067541">
        <w:rPr>
          <w:rFonts w:asciiTheme="majorHAnsi" w:hAnsiTheme="majorHAnsi" w:cstheme="majorHAnsi"/>
          <w:b/>
          <w:bCs/>
          <w:sz w:val="24"/>
          <w:szCs w:val="24"/>
          <w:lang w:val="et-EE"/>
        </w:rPr>
        <w:t>3. Riigiabi</w:t>
      </w:r>
    </w:p>
    <w:p w14:paraId="46ABA484"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Rahastamist taotledes tuleb arvestada ELi riigiabi ja vähese tähtsusega abi määrustega.</w:t>
      </w:r>
    </w:p>
    <w:p w14:paraId="1CDDE778" w14:textId="10E9619C" w:rsidR="00C261D8" w:rsidRPr="00067541" w:rsidRDefault="00C261D8" w:rsidP="00C26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Kui toetus on riigiabi või vähese tähtsusega abi, ei anta toetust vastuvõtvale asutusele, kelle suhtes on Euroopa Komisjoni eelneva otsuse alusel, millega abi on tunnistatud ebaseaduslikuks ja siseturuga kokkusobimatuks, tehtud toetuse tagasinõudmise otsus, mis on täitmata.</w:t>
      </w:r>
    </w:p>
    <w:p w14:paraId="41D325C2" w14:textId="54EDC384"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Toetus ei ole teadus- ja arendustegevusele suunatud riigiabi, kui projekt on seotud vastuvõtva asutuse mittemajandustegevusega, tingimusel, et teadus- ja arendustegevust ning selle kulusid, rahastamist ja tulusid on võimalik selgelt eristada, nii et majandustegevuse ristsubsideerimine on välistatud.</w:t>
      </w:r>
    </w:p>
    <w:p w14:paraId="5C5C5A18"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Määratlemaks, kas tegemist on majandustegevusega ning kas vastuvõttev asutus on ettevõtja, kellele toetuse andmine on riigiabi, lähtutakse Euroopa Komisjoni teatise 2014/C 198/01 “Teadus- ja arendustegevuseks ning innovatsiooniks antava riigiabi raamistik” punktides 17–22 sätestatud kriteeriumidest.</w:t>
      </w:r>
    </w:p>
    <w:p w14:paraId="5DF923A8"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 xml:space="preserve">Riigiabi või vähese tähtsusega abi taotlemisel tuleb täita riigiabi vorm. Taotluse esitamise kuupäeval ei tohi taotlejal olla maksuvõlgnevusi. </w:t>
      </w:r>
    </w:p>
    <w:p w14:paraId="39D9D52C"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lastRenderedPageBreak/>
        <w:t>Riigiabi ja vähese tähtsusega abi puhul säilitatakse abi andmisega seotud dokumente 10 aastat alates viimase lepingu sõlmimisest.</w:t>
      </w:r>
    </w:p>
    <w:p w14:paraId="7EE3E7F5" w14:textId="77777777" w:rsidR="00C26AD6" w:rsidRPr="00ED1DE8"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b/>
          <w:bCs/>
          <w:sz w:val="24"/>
          <w:szCs w:val="24"/>
          <w:lang w:val="et-EE"/>
        </w:rPr>
      </w:pPr>
      <w:r w:rsidRPr="00ED1DE8">
        <w:rPr>
          <w:rFonts w:asciiTheme="majorHAnsi" w:hAnsiTheme="majorHAnsi" w:cstheme="majorHAnsi"/>
          <w:b/>
          <w:bCs/>
          <w:sz w:val="24"/>
          <w:szCs w:val="24"/>
          <w:lang w:val="et-EE"/>
        </w:rPr>
        <w:t xml:space="preserve">Riigiabi grupierandi määruse alusel </w:t>
      </w:r>
    </w:p>
    <w:p w14:paraId="08469805"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Kui toetus on riigiabi, siis lähtutakse toetuse andmisel Euroopa Komisjoni määruse (EL) nr 651/2014 „ELi aluslepingu artiklite 107 ja 108 kohaldamise kohta, millega teatavat liiki abi tunnistatakse siseturuga kokkusobivaks” (ELT L 187, 26.06.2014, lk 1–78) (edaspidi üldine grupierandi määrus) artiklist 25 ja sellele kohaldatakse nimetatud määruses ja konkurentsiseaduse §-s 34² sätestatut.</w:t>
      </w:r>
    </w:p>
    <w:p w14:paraId="1742AE98"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Riigiabi ei anta üldise grupierandi määruse artikli 1 lõigetes 2–5 sätestatud juhtudel.</w:t>
      </w:r>
    </w:p>
    <w:p w14:paraId="7430A83A"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Riigiabi puhul peavad projekti tegevuste abikõlblikud kulud vastama üldise grupierandi määruse artikli 25 lõikes 3, välja arvatud punktis c, toodud tingimustele ja abi maksimaalne osakaal artikli 25 lõigetele 5 ja 6.</w:t>
      </w:r>
    </w:p>
    <w:p w14:paraId="6A4F6C6B" w14:textId="062995A7" w:rsidR="00C261D8" w:rsidRDefault="00C261D8"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C261D8">
        <w:rPr>
          <w:rFonts w:asciiTheme="majorHAnsi" w:hAnsiTheme="majorHAnsi" w:cstheme="majorHAnsi"/>
          <w:sz w:val="24"/>
          <w:szCs w:val="24"/>
          <w:lang w:val="et-EE"/>
        </w:rPr>
        <w:t xml:space="preserve">Vajadusel antakse riigiabi vastavalt artiklis 25c sätestatud eeskirjadele </w:t>
      </w:r>
      <w:r>
        <w:rPr>
          <w:rFonts w:asciiTheme="majorHAnsi" w:hAnsiTheme="majorHAnsi" w:cstheme="majorHAnsi"/>
          <w:sz w:val="24"/>
          <w:szCs w:val="24"/>
          <w:lang w:val="et-EE"/>
        </w:rPr>
        <w:t xml:space="preserve">– </w:t>
      </w:r>
      <w:r w:rsidRPr="00C261D8">
        <w:rPr>
          <w:rFonts w:asciiTheme="majorHAnsi" w:hAnsiTheme="majorHAnsi" w:cstheme="majorHAnsi"/>
          <w:sz w:val="24"/>
          <w:szCs w:val="24"/>
          <w:lang w:val="et-EE"/>
        </w:rPr>
        <w:t>kaasrahasta</w:t>
      </w:r>
      <w:r>
        <w:rPr>
          <w:rFonts w:asciiTheme="majorHAnsi" w:hAnsiTheme="majorHAnsi" w:cstheme="majorHAnsi"/>
          <w:sz w:val="24"/>
          <w:szCs w:val="24"/>
          <w:lang w:val="et-EE"/>
        </w:rPr>
        <w:t>tud</w:t>
      </w:r>
      <w:r w:rsidRPr="00C261D8">
        <w:rPr>
          <w:rFonts w:asciiTheme="majorHAnsi" w:hAnsiTheme="majorHAnsi" w:cstheme="majorHAnsi"/>
          <w:sz w:val="24"/>
          <w:szCs w:val="24"/>
          <w:lang w:val="et-EE"/>
        </w:rPr>
        <w:t xml:space="preserve"> teadus- ja arendusprojektide</w:t>
      </w:r>
      <w:r>
        <w:rPr>
          <w:rFonts w:asciiTheme="majorHAnsi" w:hAnsiTheme="majorHAnsi" w:cstheme="majorHAnsi"/>
          <w:sz w:val="24"/>
          <w:szCs w:val="24"/>
          <w:lang w:val="et-EE"/>
        </w:rPr>
        <w:t>le antav abi</w:t>
      </w:r>
      <w:r w:rsidRPr="00C261D8">
        <w:rPr>
          <w:rFonts w:asciiTheme="majorHAnsi" w:hAnsiTheme="majorHAnsi" w:cstheme="majorHAnsi"/>
          <w:sz w:val="24"/>
          <w:szCs w:val="24"/>
          <w:lang w:val="et-EE"/>
        </w:rPr>
        <w:t>.</w:t>
      </w:r>
    </w:p>
    <w:p w14:paraId="09B29CF4" w14:textId="476434EE"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Juhul, kui taotletav toetus on käsitletav riigiabina, peab taotlus sisaldama üldise grupierandi määruse artikli 6 lõikes 2 toodud infot ja taotlus peab olema esitatud enne tegevustega alustamist.</w:t>
      </w:r>
    </w:p>
    <w:p w14:paraId="243BF510" w14:textId="045EE31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 xml:space="preserve">Juhul kui antakse riigiabi, ei ole enne taotluse esitamist alustatud tegevuste kulud abikõlblikud. </w:t>
      </w:r>
    </w:p>
    <w:p w14:paraId="2B353809" w14:textId="77777777" w:rsidR="00C26AD6" w:rsidRPr="00ED1DE8"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b/>
          <w:bCs/>
          <w:sz w:val="24"/>
          <w:szCs w:val="24"/>
          <w:lang w:val="et-EE"/>
        </w:rPr>
      </w:pPr>
      <w:r w:rsidRPr="00ED1DE8">
        <w:rPr>
          <w:rFonts w:asciiTheme="majorHAnsi" w:hAnsiTheme="majorHAnsi" w:cstheme="majorHAnsi"/>
          <w:b/>
          <w:bCs/>
          <w:sz w:val="24"/>
          <w:szCs w:val="24"/>
          <w:lang w:val="et-EE"/>
        </w:rPr>
        <w:t xml:space="preserve">Vähese tähtsusega abi </w:t>
      </w:r>
    </w:p>
    <w:p w14:paraId="33B38737"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Kui toetus on vähese tähtsusega abi, lähtutakse toetuse andmisel Euroopa Komisjoni määrusest (EL) nr 1407/2013, milles käsitletakse Euroopa Liidu toimimise lepingu artiklite 107 ja 108 kohaldamist vähese tähtsusega abi suhtes (ELT L 352, 24.12.2013, lk 1–8) (edaspidi vähese tähtsusega abi määrus), ja sellele kohaldatakse nimetatud määruses ja konkurentsiseaduse §-s 33 sätestatut.</w:t>
      </w:r>
    </w:p>
    <w:p w14:paraId="09570993"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Vähese tähtsusega abi ei anta vähese tähtsusega abi määruse artikli 1 lõikes 1 sätestatud juhtudel.</w:t>
      </w:r>
    </w:p>
    <w:p w14:paraId="6B16EF8B"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Vähese tähtsusega abi puhul peab toetuse maksimaalne summa vastama vähese tähtsusega abi määruse artiklis 3 toodule.</w:t>
      </w:r>
    </w:p>
    <w:p w14:paraId="69F0889A"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Vastuvõtvale asutusele antud vähese tähtsusega abi koos toetusena taotletava vähese tähtsusega abiga ei tohi jooksva majandusaasta ja kahe eelneva majandusaasta jooksul kokku ületada 200 000 eurot.</w:t>
      </w:r>
    </w:p>
    <w:p w14:paraId="4BB5655E"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 xml:space="preserve">Vähese tähtsusega abi kumuleerimisel lähtutakse vähese tähtsusega abi määruse artiklist 5. </w:t>
      </w:r>
    </w:p>
    <w:p w14:paraId="08FEB6CC"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 xml:space="preserve">Üheks ettevõtjaks loetakse vähese tähtsusega abi määruse artikkel 2 lõikes 1 nimetatud ettevõtjat. </w:t>
      </w:r>
    </w:p>
    <w:p w14:paraId="15EC91CA" w14:textId="77777777" w:rsidR="006107B9" w:rsidRDefault="006107B9"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b/>
          <w:bCs/>
          <w:sz w:val="24"/>
          <w:szCs w:val="24"/>
          <w:lang w:val="et-EE"/>
        </w:rPr>
      </w:pPr>
    </w:p>
    <w:p w14:paraId="2EB755F3" w14:textId="64FE96D0"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b/>
          <w:bCs/>
          <w:sz w:val="24"/>
          <w:szCs w:val="24"/>
          <w:lang w:val="et-EE"/>
        </w:rPr>
      </w:pPr>
      <w:r w:rsidRPr="00067541">
        <w:rPr>
          <w:rFonts w:asciiTheme="majorHAnsi" w:hAnsiTheme="majorHAnsi" w:cstheme="majorHAnsi"/>
          <w:b/>
          <w:bCs/>
          <w:sz w:val="24"/>
          <w:szCs w:val="24"/>
          <w:lang w:val="et-EE"/>
        </w:rPr>
        <w:lastRenderedPageBreak/>
        <w:t>4. Toetusleping</w:t>
      </w:r>
    </w:p>
    <w:p w14:paraId="4A691AB3"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 xml:space="preserve">Positiivse rahastamisotsuse korral sõlmib rahastusasutus vastuvõtva asutuse ja Eesti osaprojekti juhiga lepingu. Pärast lepingu allkirjastamist tuleb info projekti kohta sisestada </w:t>
      </w:r>
      <w:proofErr w:type="spellStart"/>
      <w:r w:rsidRPr="00067541">
        <w:rPr>
          <w:rFonts w:asciiTheme="majorHAnsi" w:hAnsiTheme="majorHAnsi" w:cstheme="majorHAnsi"/>
          <w:sz w:val="24"/>
          <w:szCs w:val="24"/>
          <w:lang w:val="et-EE"/>
        </w:rPr>
        <w:t>ETISesse</w:t>
      </w:r>
      <w:proofErr w:type="spellEnd"/>
      <w:r w:rsidRPr="00067541">
        <w:rPr>
          <w:rFonts w:asciiTheme="majorHAnsi" w:hAnsiTheme="majorHAnsi" w:cstheme="majorHAnsi"/>
          <w:sz w:val="24"/>
          <w:szCs w:val="24"/>
          <w:lang w:val="et-EE"/>
        </w:rPr>
        <w:t>.</w:t>
      </w:r>
    </w:p>
    <w:p w14:paraId="49F058A0" w14:textId="71F58D4C"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b/>
          <w:bCs/>
          <w:sz w:val="24"/>
          <w:szCs w:val="24"/>
          <w:lang w:val="et-EE"/>
        </w:rPr>
      </w:pPr>
      <w:r w:rsidRPr="00067541">
        <w:rPr>
          <w:rFonts w:asciiTheme="majorHAnsi" w:hAnsiTheme="majorHAnsi" w:cstheme="majorHAnsi"/>
          <w:b/>
          <w:bCs/>
          <w:sz w:val="24"/>
          <w:szCs w:val="24"/>
          <w:lang w:val="et-EE"/>
        </w:rPr>
        <w:t xml:space="preserve">5. </w:t>
      </w:r>
      <w:proofErr w:type="spellStart"/>
      <w:r w:rsidR="00BA50C1">
        <w:rPr>
          <w:rFonts w:asciiTheme="majorHAnsi" w:hAnsiTheme="majorHAnsi" w:cstheme="majorHAnsi"/>
          <w:b/>
          <w:bCs/>
          <w:sz w:val="24"/>
          <w:szCs w:val="24"/>
          <w:lang w:val="et-EE"/>
        </w:rPr>
        <w:t>I</w:t>
      </w:r>
      <w:r w:rsidRPr="00067541">
        <w:rPr>
          <w:rFonts w:asciiTheme="majorHAnsi" w:hAnsiTheme="majorHAnsi" w:cstheme="majorHAnsi"/>
          <w:b/>
          <w:bCs/>
          <w:sz w:val="24"/>
          <w:szCs w:val="24"/>
          <w:lang w:val="et-EE"/>
        </w:rPr>
        <w:t>nim</w:t>
      </w:r>
      <w:r w:rsidR="00C261D8">
        <w:rPr>
          <w:rFonts w:asciiTheme="majorHAnsi" w:hAnsiTheme="majorHAnsi" w:cstheme="majorHAnsi"/>
          <w:b/>
          <w:bCs/>
          <w:sz w:val="24"/>
          <w:szCs w:val="24"/>
          <w:lang w:val="et-EE"/>
        </w:rPr>
        <w:t>uuring</w:t>
      </w:r>
      <w:r w:rsidR="003E0C4E">
        <w:rPr>
          <w:rFonts w:asciiTheme="majorHAnsi" w:hAnsiTheme="majorHAnsi" w:cstheme="majorHAnsi"/>
          <w:b/>
          <w:bCs/>
          <w:sz w:val="24"/>
          <w:szCs w:val="24"/>
          <w:lang w:val="et-EE"/>
        </w:rPr>
        <w:t>ud</w:t>
      </w:r>
      <w:proofErr w:type="spellEnd"/>
      <w:r w:rsidR="00C261D8">
        <w:rPr>
          <w:rFonts w:asciiTheme="majorHAnsi" w:hAnsiTheme="majorHAnsi" w:cstheme="majorHAnsi"/>
          <w:b/>
          <w:bCs/>
          <w:sz w:val="24"/>
          <w:szCs w:val="24"/>
          <w:lang w:val="et-EE"/>
        </w:rPr>
        <w:t xml:space="preserve"> </w:t>
      </w:r>
      <w:r w:rsidRPr="00067541">
        <w:rPr>
          <w:rFonts w:asciiTheme="majorHAnsi" w:hAnsiTheme="majorHAnsi" w:cstheme="majorHAnsi"/>
          <w:b/>
          <w:bCs/>
          <w:sz w:val="24"/>
          <w:szCs w:val="24"/>
          <w:lang w:val="et-EE"/>
        </w:rPr>
        <w:t>või loom</w:t>
      </w:r>
      <w:r w:rsidR="00C261D8">
        <w:rPr>
          <w:rFonts w:asciiTheme="majorHAnsi" w:hAnsiTheme="majorHAnsi" w:cstheme="majorHAnsi"/>
          <w:b/>
          <w:bCs/>
          <w:sz w:val="24"/>
          <w:szCs w:val="24"/>
          <w:lang w:val="et-EE"/>
        </w:rPr>
        <w:t>katsed</w:t>
      </w:r>
    </w:p>
    <w:p w14:paraId="2484D901" w14:textId="4F777A9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 xml:space="preserve">Kui </w:t>
      </w:r>
      <w:r w:rsidR="00C261D8">
        <w:rPr>
          <w:rFonts w:asciiTheme="majorHAnsi" w:hAnsiTheme="majorHAnsi" w:cstheme="majorHAnsi"/>
          <w:sz w:val="24"/>
          <w:szCs w:val="24"/>
          <w:lang w:val="et-EE"/>
        </w:rPr>
        <w:t>kavandatav uurimistöö hõlmab tegevusi, mi</w:t>
      </w:r>
      <w:r w:rsidR="003E0C4E">
        <w:rPr>
          <w:rFonts w:asciiTheme="majorHAnsi" w:hAnsiTheme="majorHAnsi" w:cstheme="majorHAnsi"/>
          <w:sz w:val="24"/>
          <w:szCs w:val="24"/>
          <w:lang w:val="et-EE"/>
        </w:rPr>
        <w:t>lle läbiviimiseks tuleb esmalt taotleda luba</w:t>
      </w:r>
      <w:r w:rsidR="00C261D8">
        <w:rPr>
          <w:rFonts w:asciiTheme="majorHAnsi" w:hAnsiTheme="majorHAnsi" w:cstheme="majorHAnsi"/>
          <w:sz w:val="24"/>
          <w:szCs w:val="24"/>
          <w:lang w:val="et-EE"/>
        </w:rPr>
        <w:t xml:space="preserve"> </w:t>
      </w:r>
      <w:proofErr w:type="spellStart"/>
      <w:r w:rsidR="003E0C4E">
        <w:rPr>
          <w:rFonts w:asciiTheme="majorHAnsi" w:hAnsiTheme="majorHAnsi" w:cstheme="majorHAnsi"/>
          <w:sz w:val="24"/>
          <w:szCs w:val="24"/>
          <w:lang w:val="et-EE"/>
        </w:rPr>
        <w:t>inimuuringute</w:t>
      </w:r>
      <w:proofErr w:type="spellEnd"/>
      <w:r w:rsidR="003E0C4E">
        <w:rPr>
          <w:rFonts w:asciiTheme="majorHAnsi" w:hAnsiTheme="majorHAnsi" w:cstheme="majorHAnsi"/>
          <w:sz w:val="24"/>
          <w:szCs w:val="24"/>
          <w:lang w:val="et-EE"/>
        </w:rPr>
        <w:t xml:space="preserve"> </w:t>
      </w:r>
      <w:r w:rsidR="00C261D8">
        <w:rPr>
          <w:rFonts w:asciiTheme="majorHAnsi" w:hAnsiTheme="majorHAnsi" w:cstheme="majorHAnsi"/>
          <w:sz w:val="24"/>
          <w:szCs w:val="24"/>
          <w:lang w:val="et-EE"/>
        </w:rPr>
        <w:t>eetika</w:t>
      </w:r>
      <w:r w:rsidR="003E0C4E">
        <w:rPr>
          <w:rFonts w:asciiTheme="majorHAnsi" w:hAnsiTheme="majorHAnsi" w:cstheme="majorHAnsi"/>
          <w:sz w:val="24"/>
          <w:szCs w:val="24"/>
          <w:lang w:val="et-EE"/>
        </w:rPr>
        <w:t xml:space="preserve"> </w:t>
      </w:r>
      <w:r w:rsidR="00C261D8">
        <w:rPr>
          <w:rFonts w:asciiTheme="majorHAnsi" w:hAnsiTheme="majorHAnsi" w:cstheme="majorHAnsi"/>
          <w:sz w:val="24"/>
          <w:szCs w:val="24"/>
          <w:lang w:val="et-EE"/>
        </w:rPr>
        <w:t>komitee</w:t>
      </w:r>
      <w:r w:rsidR="003E0C4E">
        <w:rPr>
          <w:rFonts w:asciiTheme="majorHAnsi" w:hAnsiTheme="majorHAnsi" w:cstheme="majorHAnsi"/>
          <w:sz w:val="24"/>
          <w:szCs w:val="24"/>
          <w:lang w:val="et-EE"/>
        </w:rPr>
        <w:t>lt</w:t>
      </w:r>
      <w:r w:rsidR="00C261D8">
        <w:rPr>
          <w:rFonts w:asciiTheme="majorHAnsi" w:hAnsiTheme="majorHAnsi" w:cstheme="majorHAnsi"/>
          <w:sz w:val="24"/>
          <w:szCs w:val="24"/>
          <w:lang w:val="et-EE"/>
        </w:rPr>
        <w:t xml:space="preserve"> või </w:t>
      </w:r>
      <w:r w:rsidR="003E0C4E">
        <w:rPr>
          <w:rFonts w:asciiTheme="majorHAnsi" w:hAnsiTheme="majorHAnsi" w:cstheme="majorHAnsi"/>
          <w:sz w:val="24"/>
          <w:szCs w:val="24"/>
          <w:lang w:val="et-EE"/>
        </w:rPr>
        <w:t xml:space="preserve">loomkatseprojekti loakomisjonilt, peab Eesti osaprojekti juht esitama rahastusasutusele eetikakomitee </w:t>
      </w:r>
      <w:r w:rsidR="0069358B">
        <w:rPr>
          <w:rFonts w:asciiTheme="majorHAnsi" w:hAnsiTheme="majorHAnsi" w:cstheme="majorHAnsi"/>
          <w:sz w:val="24"/>
          <w:szCs w:val="24"/>
          <w:lang w:val="et-EE"/>
        </w:rPr>
        <w:t xml:space="preserve">loa </w:t>
      </w:r>
      <w:r w:rsidR="003E0C4E">
        <w:rPr>
          <w:rFonts w:asciiTheme="majorHAnsi" w:hAnsiTheme="majorHAnsi" w:cstheme="majorHAnsi"/>
          <w:sz w:val="24"/>
          <w:szCs w:val="24"/>
          <w:lang w:val="et-EE"/>
        </w:rPr>
        <w:t xml:space="preserve">hiljemalt </w:t>
      </w:r>
      <w:r w:rsidR="0069358B">
        <w:rPr>
          <w:rFonts w:asciiTheme="majorHAnsi" w:hAnsiTheme="majorHAnsi" w:cstheme="majorHAnsi"/>
          <w:sz w:val="24"/>
          <w:szCs w:val="24"/>
          <w:lang w:val="et-EE"/>
        </w:rPr>
        <w:t xml:space="preserve">vastava </w:t>
      </w:r>
      <w:r w:rsidR="003E0C4E">
        <w:rPr>
          <w:rFonts w:asciiTheme="majorHAnsi" w:hAnsiTheme="majorHAnsi" w:cstheme="majorHAnsi"/>
          <w:sz w:val="24"/>
          <w:szCs w:val="24"/>
          <w:lang w:val="et-EE"/>
        </w:rPr>
        <w:t xml:space="preserve">uuringu alguseks. </w:t>
      </w:r>
    </w:p>
    <w:p w14:paraId="1785BDE7" w14:textId="77777777" w:rsidR="00C26AD6" w:rsidRPr="003E0C4E"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b/>
          <w:bCs/>
          <w:sz w:val="24"/>
          <w:szCs w:val="24"/>
          <w:lang w:val="et-EE"/>
        </w:rPr>
      </w:pPr>
      <w:r w:rsidRPr="003E0C4E">
        <w:rPr>
          <w:rFonts w:asciiTheme="majorHAnsi" w:hAnsiTheme="majorHAnsi" w:cstheme="majorHAnsi"/>
          <w:b/>
          <w:bCs/>
          <w:sz w:val="24"/>
          <w:szCs w:val="24"/>
          <w:lang w:val="et-EE"/>
        </w:rPr>
        <w:t>6. Nagoya protokoll</w:t>
      </w:r>
    </w:p>
    <w:p w14:paraId="00D305C9" w14:textId="77777777" w:rsidR="00C26AD6" w:rsidRPr="00067541" w:rsidRDefault="00C26AD6" w:rsidP="00C26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ajorHAnsi" w:hAnsiTheme="majorHAnsi" w:cstheme="majorHAnsi"/>
          <w:sz w:val="24"/>
          <w:szCs w:val="24"/>
          <w:lang w:val="et-EE"/>
        </w:rPr>
      </w:pPr>
      <w:r w:rsidRPr="00067541">
        <w:rPr>
          <w:rFonts w:asciiTheme="majorHAnsi" w:hAnsiTheme="majorHAnsi" w:cstheme="majorHAnsi"/>
          <w:sz w:val="24"/>
          <w:szCs w:val="24"/>
          <w:lang w:val="et-EE"/>
        </w:rPr>
        <w:t>Taotledes rahastamist rahastusasutusest nõustuvad taotlejad kaaluma Nagoya protokolli asjakohasust oma uurimistöö jaoks ja esitama vajaduse korral hoolsusdeklaratsiooni.</w:t>
      </w:r>
    </w:p>
    <w:p w14:paraId="798D7C2D" w14:textId="77777777" w:rsidR="00F0787C" w:rsidRPr="00C26AD6" w:rsidRDefault="00FA1A74">
      <w:pPr>
        <w:rPr>
          <w:lang w:val="et-EE"/>
        </w:rPr>
      </w:pPr>
    </w:p>
    <w:sectPr w:rsidR="00F0787C" w:rsidRPr="00C26A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1A5B" w14:textId="77777777" w:rsidR="00C26AD6" w:rsidRDefault="00C26AD6" w:rsidP="00C26AD6">
      <w:r>
        <w:separator/>
      </w:r>
    </w:p>
  </w:endnote>
  <w:endnote w:type="continuationSeparator" w:id="0">
    <w:p w14:paraId="5F2B04EE" w14:textId="77777777" w:rsidR="00C26AD6" w:rsidRDefault="00C26AD6" w:rsidP="00C2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1767" w14:textId="77777777" w:rsidR="00C26AD6" w:rsidRDefault="00C26AD6" w:rsidP="00C26AD6">
      <w:r>
        <w:separator/>
      </w:r>
    </w:p>
  </w:footnote>
  <w:footnote w:type="continuationSeparator" w:id="0">
    <w:p w14:paraId="4891357A" w14:textId="77777777" w:rsidR="00C26AD6" w:rsidRDefault="00C26AD6" w:rsidP="00C26AD6">
      <w:r>
        <w:continuationSeparator/>
      </w:r>
    </w:p>
  </w:footnote>
  <w:footnote w:id="1">
    <w:p w14:paraId="3A91B2B5" w14:textId="519F0CD4" w:rsidR="00C26AD6" w:rsidRPr="002D0DF1" w:rsidRDefault="00C26AD6" w:rsidP="00C26AD6">
      <w:pPr>
        <w:pStyle w:val="Allmrkusetekst"/>
      </w:pPr>
      <w:r w:rsidRPr="002D0DF1">
        <w:rPr>
          <w:rStyle w:val="Allmrkuseviide"/>
        </w:rPr>
        <w:footnoteRef/>
      </w:r>
      <w:r w:rsidRPr="002D0DF1">
        <w:t xml:space="preserve"> ETIS</w:t>
      </w:r>
      <w:r w:rsidR="002D0DF1" w:rsidRPr="002D0DF1">
        <w:t>e</w:t>
      </w:r>
      <w:r w:rsidRPr="002D0DF1">
        <w:t xml:space="preserve"> </w:t>
      </w:r>
      <w:r w:rsidR="002D0DF1" w:rsidRPr="002D0DF1">
        <w:t>klassifikatsioon</w:t>
      </w:r>
      <w:r w:rsidRPr="002D0DF1">
        <w:t xml:space="preserve">: </w:t>
      </w:r>
      <w:r w:rsidRPr="002D0DF1">
        <w:rPr>
          <w:b/>
        </w:rPr>
        <w:t>1.1.</w:t>
      </w:r>
      <w:r w:rsidRPr="002D0DF1">
        <w:t xml:space="preserve"> </w:t>
      </w:r>
      <w:r w:rsidR="002D0DF1" w:rsidRPr="002D0DF1">
        <w:t xml:space="preserve">Teadusartiklid, mis on kajastatud </w:t>
      </w:r>
      <w:r w:rsidRPr="002D0DF1">
        <w:t>Web of Science</w:t>
      </w:r>
      <w:r w:rsidR="002D0DF1" w:rsidRPr="002D0DF1">
        <w:t xml:space="preserve"> andmebaasides </w:t>
      </w:r>
      <w:r w:rsidRPr="002D0DF1">
        <w:t xml:space="preserve"> Science Citation Index Expanded, Social Sciences Citation Index, Arts &amp; Humanities Citation Index, Emerging Sources Citation Index </w:t>
      </w:r>
      <w:r w:rsidR="002D0DF1" w:rsidRPr="002D0DF1">
        <w:t>ja/või andmebaasis</w:t>
      </w:r>
      <w:r w:rsidRPr="002D0DF1">
        <w:t xml:space="preserve"> Scopus (</w:t>
      </w:r>
      <w:r w:rsidR="002D0DF1" w:rsidRPr="002D0DF1">
        <w:t>v.a kogumikud)</w:t>
      </w:r>
      <w:r w:rsidRPr="002D0DF1">
        <w:t xml:space="preserve">; </w:t>
      </w:r>
      <w:r w:rsidRPr="002D0DF1">
        <w:rPr>
          <w:b/>
        </w:rPr>
        <w:t>1.2.</w:t>
      </w:r>
      <w:r w:rsidRPr="002D0DF1">
        <w:t xml:space="preserve"> </w:t>
      </w:r>
      <w:r w:rsidR="002D0DF1" w:rsidRPr="002D0DF1">
        <w:t>Teadusartiklid teistes rahvusvahelistes ajakirjades, millel on registreeritud kood, rahvusvaheline toimetus, rahvusvahelise kolleegiumiga eelretsenseeri</w:t>
      </w:r>
      <w:r w:rsidR="002D0DF1">
        <w:t>m</w:t>
      </w:r>
      <w:r w:rsidR="002D0DF1" w:rsidRPr="002D0DF1">
        <w:t>ine, rahvusvaheline levik ning kättesaadavus ja avatus kaastöödele</w:t>
      </w:r>
      <w:r w:rsidR="002D0DF1">
        <w:t>;</w:t>
      </w:r>
      <w:r w:rsidR="002D0DF1" w:rsidRPr="002D0DF1">
        <w:t xml:space="preserve"> </w:t>
      </w:r>
      <w:r w:rsidRPr="002D0DF1">
        <w:rPr>
          <w:b/>
        </w:rPr>
        <w:t>2.1.</w:t>
      </w:r>
      <w:r w:rsidRPr="002D0DF1">
        <w:t xml:space="preserve"> </w:t>
      </w:r>
      <w:r w:rsidR="002D0DF1" w:rsidRPr="002D0DF1">
        <w:t>M</w:t>
      </w:r>
      <w:r w:rsidRPr="002D0DF1">
        <w:t>onogra</w:t>
      </w:r>
      <w:r w:rsidR="002D0DF1" w:rsidRPr="002D0DF1">
        <w:t>afiad</w:t>
      </w:r>
      <w:r w:rsidRPr="002D0DF1">
        <w:t xml:space="preserve">; </w:t>
      </w:r>
      <w:r w:rsidRPr="002D0DF1">
        <w:rPr>
          <w:b/>
        </w:rPr>
        <w:t>3.1.</w:t>
      </w:r>
      <w:r w:rsidRPr="002D0DF1">
        <w:t xml:space="preserve"> Arti</w:t>
      </w:r>
      <w:r w:rsidR="002D0DF1" w:rsidRPr="002D0DF1">
        <w:t>k</w:t>
      </w:r>
      <w:r w:rsidRPr="002D0DF1">
        <w:t>l</w:t>
      </w:r>
      <w:r w:rsidR="002D0DF1" w:rsidRPr="002D0DF1">
        <w:t>id</w:t>
      </w:r>
      <w:r w:rsidRPr="002D0DF1">
        <w:t>/</w:t>
      </w:r>
      <w:r w:rsidR="002D0DF1" w:rsidRPr="002D0DF1">
        <w:t>peatükid</w:t>
      </w:r>
      <w:r w:rsidRPr="002D0DF1">
        <w:t xml:space="preserve"> </w:t>
      </w:r>
      <w:r w:rsidR="002D0DF1" w:rsidRPr="002D0DF1">
        <w:t xml:space="preserve">lisas loetletud kirjastuste välja antud kogumikes (kaasa arvatud </w:t>
      </w:r>
      <w:r w:rsidRPr="002D0DF1">
        <w:t>Web of Science Book Citation Index, Web of Science Conference Proceedings Citation Index, Scopus</w:t>
      </w:r>
      <w:r w:rsidR="002D0DF1" w:rsidRPr="002D0DF1">
        <w:t xml:space="preserve"> refereeritud kogumikud</w:t>
      </w:r>
      <w:r w:rsidRPr="002D0DF1">
        <w:t>)</w:t>
      </w:r>
    </w:p>
  </w:footnote>
  <w:footnote w:id="2">
    <w:p w14:paraId="02819690" w14:textId="102B3A7E" w:rsidR="00C26AD6" w:rsidRPr="008C6A9E" w:rsidRDefault="00C26AD6" w:rsidP="00C26AD6">
      <w:pPr>
        <w:pStyle w:val="Allmrkusetekst"/>
      </w:pPr>
      <w:r>
        <w:rPr>
          <w:rStyle w:val="Allmrkuseviide"/>
        </w:rPr>
        <w:footnoteRef/>
      </w:r>
      <w:r>
        <w:t xml:space="preserve"> </w:t>
      </w:r>
      <w:r w:rsidR="008C6A9E">
        <w:t xml:space="preserve">Lähemat teavet välisriigi kvalifikatsiooni hindamise korrast ja taotlusvormid leiab Eesti ENIC/NARIC Keskuse kodulehelt </w:t>
      </w:r>
      <w:hyperlink r:id="rId1" w:history="1">
        <w:r w:rsidRPr="008C6A9E">
          <w:rPr>
            <w:rStyle w:val="Hperlink"/>
            <w:iCs/>
            <w:lang w:val="fi-FI"/>
          </w:rPr>
          <w:t>https://www.harno.ee/en/enicnaric</w:t>
        </w:r>
      </w:hyperlink>
      <w:r w:rsidRPr="008C6A9E">
        <w:rPr>
          <w:iCs/>
        </w:rPr>
        <w:t xml:space="preserve">. </w:t>
      </w:r>
      <w:r w:rsidR="008C6A9E" w:rsidRPr="008C6A9E">
        <w:rPr>
          <w:iCs/>
        </w:rPr>
        <w:t xml:space="preserve">Keskus annab taotlejale kirjaliku vastuse 30 päeva jooksul pärast kõigi nõutavate dokumentide esitamist.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A26"/>
    <w:multiLevelType w:val="multilevel"/>
    <w:tmpl w:val="CDE8CA42"/>
    <w:lvl w:ilvl="0">
      <w:start w:val="2"/>
      <w:numFmt w:val="decimal"/>
      <w:lvlText w:val="%1"/>
      <w:lvlJc w:val="left"/>
      <w:pPr>
        <w:ind w:left="480" w:hanging="480"/>
      </w:pPr>
      <w:rPr>
        <w:rFonts w:hint="default"/>
        <w:b/>
      </w:rPr>
    </w:lvl>
    <w:lvl w:ilvl="1">
      <w:start w:val="2"/>
      <w:numFmt w:val="decimal"/>
      <w:lvlText w:val="%1.%2"/>
      <w:lvlJc w:val="left"/>
      <w:pPr>
        <w:ind w:left="1260" w:hanging="48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1" w15:restartNumberingAfterBreak="0">
    <w:nsid w:val="15F76A6D"/>
    <w:multiLevelType w:val="multilevel"/>
    <w:tmpl w:val="626AEAC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6456BE1"/>
    <w:multiLevelType w:val="multilevel"/>
    <w:tmpl w:val="E21C03F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BD35C8"/>
    <w:multiLevelType w:val="multilevel"/>
    <w:tmpl w:val="DE783E4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551059"/>
    <w:multiLevelType w:val="hybridMultilevel"/>
    <w:tmpl w:val="A35A34C0"/>
    <w:lvl w:ilvl="0" w:tplc="57E4418A">
      <w:start w:val="2"/>
      <w:numFmt w:val="bullet"/>
      <w:lvlText w:val="-"/>
      <w:lvlJc w:val="left"/>
      <w:pPr>
        <w:ind w:left="2186" w:hanging="360"/>
      </w:pPr>
      <w:rPr>
        <w:rFonts w:ascii="Calibri" w:eastAsia="Times New Roman" w:hAnsi="Calibri" w:cs="Calibri" w:hint="default"/>
      </w:rPr>
    </w:lvl>
    <w:lvl w:ilvl="1" w:tplc="04250003" w:tentative="1">
      <w:start w:val="1"/>
      <w:numFmt w:val="bullet"/>
      <w:lvlText w:val="o"/>
      <w:lvlJc w:val="left"/>
      <w:pPr>
        <w:ind w:left="2906" w:hanging="360"/>
      </w:pPr>
      <w:rPr>
        <w:rFonts w:ascii="Courier New" w:hAnsi="Courier New" w:cs="Courier New" w:hint="default"/>
      </w:rPr>
    </w:lvl>
    <w:lvl w:ilvl="2" w:tplc="04250005" w:tentative="1">
      <w:start w:val="1"/>
      <w:numFmt w:val="bullet"/>
      <w:lvlText w:val=""/>
      <w:lvlJc w:val="left"/>
      <w:pPr>
        <w:ind w:left="3626" w:hanging="360"/>
      </w:pPr>
      <w:rPr>
        <w:rFonts w:ascii="Wingdings" w:hAnsi="Wingdings" w:hint="default"/>
      </w:rPr>
    </w:lvl>
    <w:lvl w:ilvl="3" w:tplc="04250001" w:tentative="1">
      <w:start w:val="1"/>
      <w:numFmt w:val="bullet"/>
      <w:lvlText w:val=""/>
      <w:lvlJc w:val="left"/>
      <w:pPr>
        <w:ind w:left="4346" w:hanging="360"/>
      </w:pPr>
      <w:rPr>
        <w:rFonts w:ascii="Symbol" w:hAnsi="Symbol" w:hint="default"/>
      </w:rPr>
    </w:lvl>
    <w:lvl w:ilvl="4" w:tplc="04250003" w:tentative="1">
      <w:start w:val="1"/>
      <w:numFmt w:val="bullet"/>
      <w:lvlText w:val="o"/>
      <w:lvlJc w:val="left"/>
      <w:pPr>
        <w:ind w:left="5066" w:hanging="360"/>
      </w:pPr>
      <w:rPr>
        <w:rFonts w:ascii="Courier New" w:hAnsi="Courier New" w:cs="Courier New" w:hint="default"/>
      </w:rPr>
    </w:lvl>
    <w:lvl w:ilvl="5" w:tplc="04250005" w:tentative="1">
      <w:start w:val="1"/>
      <w:numFmt w:val="bullet"/>
      <w:lvlText w:val=""/>
      <w:lvlJc w:val="left"/>
      <w:pPr>
        <w:ind w:left="5786" w:hanging="360"/>
      </w:pPr>
      <w:rPr>
        <w:rFonts w:ascii="Wingdings" w:hAnsi="Wingdings" w:hint="default"/>
      </w:rPr>
    </w:lvl>
    <w:lvl w:ilvl="6" w:tplc="04250001" w:tentative="1">
      <w:start w:val="1"/>
      <w:numFmt w:val="bullet"/>
      <w:lvlText w:val=""/>
      <w:lvlJc w:val="left"/>
      <w:pPr>
        <w:ind w:left="6506" w:hanging="360"/>
      </w:pPr>
      <w:rPr>
        <w:rFonts w:ascii="Symbol" w:hAnsi="Symbol" w:hint="default"/>
      </w:rPr>
    </w:lvl>
    <w:lvl w:ilvl="7" w:tplc="04250003" w:tentative="1">
      <w:start w:val="1"/>
      <w:numFmt w:val="bullet"/>
      <w:lvlText w:val="o"/>
      <w:lvlJc w:val="left"/>
      <w:pPr>
        <w:ind w:left="7226" w:hanging="360"/>
      </w:pPr>
      <w:rPr>
        <w:rFonts w:ascii="Courier New" w:hAnsi="Courier New" w:cs="Courier New" w:hint="default"/>
      </w:rPr>
    </w:lvl>
    <w:lvl w:ilvl="8" w:tplc="04250005" w:tentative="1">
      <w:start w:val="1"/>
      <w:numFmt w:val="bullet"/>
      <w:lvlText w:val=""/>
      <w:lvlJc w:val="left"/>
      <w:pPr>
        <w:ind w:left="7946" w:hanging="360"/>
      </w:pPr>
      <w:rPr>
        <w:rFonts w:ascii="Wingdings" w:hAnsi="Wingdings" w:hint="default"/>
      </w:rPr>
    </w:lvl>
  </w:abstractNum>
  <w:abstractNum w:abstractNumId="5" w15:restartNumberingAfterBreak="0">
    <w:nsid w:val="5CA02CB5"/>
    <w:multiLevelType w:val="hybridMultilevel"/>
    <w:tmpl w:val="90D26456"/>
    <w:lvl w:ilvl="0" w:tplc="57E4418A">
      <w:start w:val="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8F97281"/>
    <w:multiLevelType w:val="multilevel"/>
    <w:tmpl w:val="039CC25C"/>
    <w:lvl w:ilvl="0">
      <w:start w:val="1"/>
      <w:numFmt w:val="decimal"/>
      <w:lvlText w:val="%1."/>
      <w:lvlJc w:val="left"/>
      <w:pPr>
        <w:ind w:left="2061" w:hanging="360"/>
      </w:pPr>
    </w:lvl>
    <w:lvl w:ilvl="1">
      <w:start w:val="1"/>
      <w:numFmt w:val="decimal"/>
      <w:lvlText w:val="%1.%2."/>
      <w:lvlJc w:val="left"/>
      <w:pPr>
        <w:ind w:left="2711" w:hanging="432"/>
      </w:pPr>
      <w:rPr>
        <w:sz w:val="22"/>
        <w:szCs w:val="22"/>
      </w:rPr>
    </w:lvl>
    <w:lvl w:ilvl="2">
      <w:start w:val="1"/>
      <w:numFmt w:val="decimal"/>
      <w:lvlText w:val="%1.%2.%3."/>
      <w:lvlJc w:val="left"/>
      <w:pPr>
        <w:ind w:left="3143" w:hanging="504"/>
      </w:pPr>
      <w:rPr>
        <w:sz w:val="22"/>
        <w:szCs w:val="22"/>
      </w:rPr>
    </w:lvl>
    <w:lvl w:ilvl="3">
      <w:start w:val="1"/>
      <w:numFmt w:val="decimal"/>
      <w:lvlText w:val="%1.%2.%3.%4."/>
      <w:lvlJc w:val="left"/>
      <w:pPr>
        <w:ind w:left="3647" w:hanging="648"/>
      </w:pPr>
    </w:lvl>
    <w:lvl w:ilvl="4">
      <w:start w:val="1"/>
      <w:numFmt w:val="decimal"/>
      <w:lvlText w:val="%1.%2.%3.%4.%5."/>
      <w:lvlJc w:val="left"/>
      <w:pPr>
        <w:ind w:left="4151" w:hanging="792"/>
      </w:pPr>
    </w:lvl>
    <w:lvl w:ilvl="5">
      <w:start w:val="1"/>
      <w:numFmt w:val="decimal"/>
      <w:lvlText w:val="%1.%2.%3.%4.%5.%6."/>
      <w:lvlJc w:val="left"/>
      <w:pPr>
        <w:ind w:left="4655" w:hanging="936"/>
      </w:pPr>
    </w:lvl>
    <w:lvl w:ilvl="6">
      <w:start w:val="1"/>
      <w:numFmt w:val="decimal"/>
      <w:lvlText w:val="%1.%2.%3.%4.%5.%6.%7."/>
      <w:lvlJc w:val="left"/>
      <w:pPr>
        <w:ind w:left="5159" w:hanging="1080"/>
      </w:pPr>
    </w:lvl>
    <w:lvl w:ilvl="7">
      <w:start w:val="1"/>
      <w:numFmt w:val="decimal"/>
      <w:lvlText w:val="%1.%2.%3.%4.%5.%6.%7.%8."/>
      <w:lvlJc w:val="left"/>
      <w:pPr>
        <w:ind w:left="5663" w:hanging="1224"/>
      </w:pPr>
    </w:lvl>
    <w:lvl w:ilvl="8">
      <w:start w:val="1"/>
      <w:numFmt w:val="decimal"/>
      <w:lvlText w:val="%1.%2.%3.%4.%5.%6.%7.%8.%9."/>
      <w:lvlJc w:val="left"/>
      <w:pPr>
        <w:ind w:left="6239" w:hanging="1440"/>
      </w:pPr>
    </w:lvl>
  </w:abstractNum>
  <w:num w:numId="1" w16cid:durableId="1081677736">
    <w:abstractNumId w:val="6"/>
  </w:num>
  <w:num w:numId="2" w16cid:durableId="1258442424">
    <w:abstractNumId w:val="0"/>
  </w:num>
  <w:num w:numId="3" w16cid:durableId="736325350">
    <w:abstractNumId w:val="4"/>
  </w:num>
  <w:num w:numId="4" w16cid:durableId="833571662">
    <w:abstractNumId w:val="1"/>
  </w:num>
  <w:num w:numId="5" w16cid:durableId="1917938894">
    <w:abstractNumId w:val="5"/>
  </w:num>
  <w:num w:numId="6" w16cid:durableId="1008286852">
    <w:abstractNumId w:val="2"/>
  </w:num>
  <w:num w:numId="7" w16cid:durableId="70124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D6"/>
    <w:rsid w:val="002D0DF1"/>
    <w:rsid w:val="00370DC9"/>
    <w:rsid w:val="003D368D"/>
    <w:rsid w:val="003E0C4E"/>
    <w:rsid w:val="005C0781"/>
    <w:rsid w:val="005C2D10"/>
    <w:rsid w:val="005F5ABA"/>
    <w:rsid w:val="006107B9"/>
    <w:rsid w:val="0069358B"/>
    <w:rsid w:val="008C6A9E"/>
    <w:rsid w:val="008F6D4B"/>
    <w:rsid w:val="0093135C"/>
    <w:rsid w:val="009E3059"/>
    <w:rsid w:val="00A202FE"/>
    <w:rsid w:val="00AD735A"/>
    <w:rsid w:val="00BA50C1"/>
    <w:rsid w:val="00C261D8"/>
    <w:rsid w:val="00C26AD6"/>
    <w:rsid w:val="00C27F38"/>
    <w:rsid w:val="00ED1DE8"/>
    <w:rsid w:val="00F707CB"/>
    <w:rsid w:val="00FA1A74"/>
    <w:rsid w:val="00FD2D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0C98"/>
  <w15:chartTrackingRefBased/>
  <w15:docId w15:val="{99939661-6D53-424C-A5E7-3573FE95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26AD6"/>
    <w:pPr>
      <w:spacing w:after="0" w:line="240" w:lineRule="auto"/>
    </w:pPr>
    <w:rPr>
      <w:rFonts w:ascii="Times New Roman" w:eastAsia="Times New Roman" w:hAnsi="Times New Roman" w:cs="Times New Roman"/>
      <w:kern w:val="0"/>
      <w:sz w:val="20"/>
      <w:szCs w:val="20"/>
      <w:lang w:val="en-GB" w:eastAsia="et-EE"/>
      <w14:ligatures w14:val="none"/>
    </w:rPr>
  </w:style>
  <w:style w:type="paragraph" w:styleId="Pealkiri1">
    <w:name w:val="heading 1"/>
    <w:basedOn w:val="Normaallaad"/>
    <w:next w:val="Normaallaad"/>
    <w:link w:val="Pealkiri1Mrk"/>
    <w:uiPriority w:val="9"/>
    <w:qFormat/>
    <w:rsid w:val="00C27F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uiPriority w:val="99"/>
    <w:rsid w:val="00C26AD6"/>
    <w:rPr>
      <w:sz w:val="16"/>
    </w:rPr>
  </w:style>
  <w:style w:type="paragraph" w:styleId="Loendilik">
    <w:name w:val="List Paragraph"/>
    <w:basedOn w:val="Normaallaad"/>
    <w:uiPriority w:val="34"/>
    <w:qFormat/>
    <w:rsid w:val="00C26AD6"/>
    <w:pPr>
      <w:ind w:left="720"/>
    </w:pPr>
  </w:style>
  <w:style w:type="paragraph" w:styleId="Allmrkusetekst">
    <w:name w:val="footnote text"/>
    <w:basedOn w:val="Normaallaad"/>
    <w:link w:val="AllmrkusetekstMrk"/>
    <w:semiHidden/>
    <w:unhideWhenUsed/>
    <w:rsid w:val="00C26AD6"/>
    <w:pPr>
      <w:suppressAutoHyphens/>
    </w:pPr>
    <w:rPr>
      <w:lang w:val="et-EE" w:eastAsia="ar-SA"/>
    </w:rPr>
  </w:style>
  <w:style w:type="character" w:customStyle="1" w:styleId="AllmrkusetekstMrk">
    <w:name w:val="Allmärkuse tekst Märk"/>
    <w:basedOn w:val="Liguvaikefont"/>
    <w:link w:val="Allmrkusetekst"/>
    <w:semiHidden/>
    <w:rsid w:val="00C26AD6"/>
    <w:rPr>
      <w:rFonts w:ascii="Times New Roman" w:eastAsia="Times New Roman" w:hAnsi="Times New Roman" w:cs="Times New Roman"/>
      <w:kern w:val="0"/>
      <w:sz w:val="20"/>
      <w:szCs w:val="20"/>
      <w:lang w:eastAsia="ar-SA"/>
      <w14:ligatures w14:val="none"/>
    </w:rPr>
  </w:style>
  <w:style w:type="character" w:styleId="Hperlink">
    <w:name w:val="Hyperlink"/>
    <w:uiPriority w:val="99"/>
    <w:unhideWhenUsed/>
    <w:rsid w:val="00C26AD6"/>
    <w:rPr>
      <w:color w:val="0000FF"/>
      <w:u w:val="single"/>
    </w:rPr>
  </w:style>
  <w:style w:type="character" w:styleId="Allmrkuseviide">
    <w:name w:val="footnote reference"/>
    <w:uiPriority w:val="99"/>
    <w:semiHidden/>
    <w:unhideWhenUsed/>
    <w:rsid w:val="00C26AD6"/>
    <w:rPr>
      <w:vertAlign w:val="superscript"/>
    </w:rPr>
  </w:style>
  <w:style w:type="paragraph" w:customStyle="1" w:styleId="Default">
    <w:name w:val="Default"/>
    <w:rsid w:val="00C26AD6"/>
    <w:pPr>
      <w:autoSpaceDE w:val="0"/>
      <w:autoSpaceDN w:val="0"/>
      <w:adjustRightInd w:val="0"/>
      <w:spacing w:after="0" w:line="240" w:lineRule="auto"/>
    </w:pPr>
    <w:rPr>
      <w:rFonts w:ascii="Trebuchet MS" w:hAnsi="Trebuchet MS" w:cs="Trebuchet MS"/>
      <w:color w:val="000000"/>
      <w:kern w:val="0"/>
      <w:sz w:val="24"/>
      <w:szCs w:val="24"/>
      <w14:ligatures w14:val="none"/>
    </w:rPr>
  </w:style>
  <w:style w:type="paragraph" w:customStyle="1" w:styleId="Body1">
    <w:name w:val="Body 1"/>
    <w:rsid w:val="00C26AD6"/>
    <w:pPr>
      <w:suppressAutoHyphens/>
      <w:spacing w:after="0" w:line="240" w:lineRule="auto"/>
      <w:outlineLvl w:val="0"/>
    </w:pPr>
    <w:rPr>
      <w:rFonts w:ascii="Times New Roman" w:eastAsia="Arial Unicode MS" w:hAnsi="Times New Roman" w:cs="Times New Roman"/>
      <w:color w:val="000000"/>
      <w:kern w:val="0"/>
      <w:sz w:val="24"/>
      <w:szCs w:val="24"/>
      <w:u w:color="000000"/>
      <w:lang w:val="en-GB" w:eastAsia="en-GB"/>
      <w14:ligatures w14:val="none"/>
    </w:rPr>
  </w:style>
  <w:style w:type="character" w:customStyle="1" w:styleId="Pealkiri1Mrk">
    <w:name w:val="Pealkiri 1 Märk"/>
    <w:basedOn w:val="Liguvaikefont"/>
    <w:link w:val="Pealkiri1"/>
    <w:uiPriority w:val="9"/>
    <w:rsid w:val="00C27F38"/>
    <w:rPr>
      <w:rFonts w:asciiTheme="majorHAnsi" w:eastAsiaTheme="majorEastAsia" w:hAnsiTheme="majorHAnsi" w:cstheme="majorBidi"/>
      <w:color w:val="2F5496" w:themeColor="accent1" w:themeShade="BF"/>
      <w:kern w:val="0"/>
      <w:sz w:val="32"/>
      <w:szCs w:val="32"/>
      <w:lang w:val="en-GB" w:eastAsia="et-EE"/>
      <w14:ligatures w14:val="none"/>
    </w:rPr>
  </w:style>
  <w:style w:type="paragraph" w:styleId="Redaktsioon">
    <w:name w:val="Revision"/>
    <w:hidden/>
    <w:uiPriority w:val="99"/>
    <w:semiHidden/>
    <w:rsid w:val="00AD735A"/>
    <w:pPr>
      <w:spacing w:after="0" w:line="240" w:lineRule="auto"/>
    </w:pPr>
    <w:rPr>
      <w:rFonts w:ascii="Times New Roman" w:eastAsia="Times New Roman" w:hAnsi="Times New Roman" w:cs="Times New Roman"/>
      <w:kern w:val="0"/>
      <w:sz w:val="20"/>
      <w:szCs w:val="20"/>
      <w:lang w:val="en-GB" w:eastAsia="et-E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i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arno.ee/en/enicnaric"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1470</Words>
  <Characters>8528</Characters>
  <Application>Microsoft Office Word</Application>
  <DocSecurity>0</DocSecurity>
  <Lines>71</Lines>
  <Paragraphs>19</Paragraphs>
  <ScaleCrop>false</ScaleCrop>
  <HeadingPairs>
    <vt:vector size="4" baseType="variant">
      <vt:variant>
        <vt:lpstr>Pealkiri</vt:lpstr>
      </vt:variant>
      <vt:variant>
        <vt:i4>1</vt:i4>
      </vt:variant>
      <vt:variant>
        <vt:lpstr>Pealkirjad</vt:lpstr>
      </vt:variant>
      <vt:variant>
        <vt:i4>3</vt:i4>
      </vt:variant>
    </vt:vector>
  </HeadingPairs>
  <TitlesOfParts>
    <vt:vector size="4" baseType="lpstr">
      <vt:lpstr/>
      <vt:lpstr>Vastavusnõuded toetuse taotlejatele rahvusvahelistel Dear Colleague Letter ühisk</vt:lpstr>
      <vt:lpstr>Towards Resilient International Collaborations. Integration of Ukrainian Researc</vt:lpstr>
      <vt:lpstr>(Kestliku rahvusvahelise koostöö poole. Ukraina teadlaste integreerimine üleilms</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Lisamaterjal Lisa 1 tõlge Vastavusnõuded toetuse taotlejale rahvusvahelistel Dear Colleage Letter ühiskonkurssidel (IMPRESS-U)</dc:title>
  <dc:subject/>
  <dc:creator>Katrin Piller</dc:creator>
  <dc:description/>
  <cp:lastModifiedBy>Darja Matt</cp:lastModifiedBy>
  <cp:revision>2</cp:revision>
  <dcterms:created xsi:type="dcterms:W3CDTF">2023-07-10T08:32:00Z</dcterms:created>
  <dcterms:modified xsi:type="dcterms:W3CDTF">2023-07-10T08:32:00Z</dcterms:modified>
</cp:coreProperties>
</file>