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13FD" w14:textId="041890E3" w:rsidR="000A24EE" w:rsidRPr="000A24EE" w:rsidRDefault="000A24EE" w:rsidP="000A24EE">
      <w:pPr>
        <w:jc w:val="both"/>
        <w:rPr>
          <w:b/>
          <w:bCs/>
          <w:sz w:val="24"/>
          <w:szCs w:val="24"/>
        </w:rPr>
      </w:pPr>
      <w:r w:rsidRPr="000A24EE">
        <w:rPr>
          <w:b/>
          <w:bCs/>
          <w:sz w:val="24"/>
          <w:szCs w:val="24"/>
        </w:rPr>
        <w:t>Uurimistoetuste ja tippkeskuste toetuse kasutamine omafinantseeringuna „Riikliku tähtsusega teadustaristu toetamise“ meetmes</w:t>
      </w:r>
    </w:p>
    <w:p w14:paraId="664F8A2A" w14:textId="2E898DA9" w:rsidR="000A24EE" w:rsidRPr="000A24EE" w:rsidRDefault="000A24EE" w:rsidP="000A24EE">
      <w:pPr>
        <w:jc w:val="both"/>
        <w:rPr>
          <w:sz w:val="24"/>
          <w:szCs w:val="24"/>
        </w:rPr>
      </w:pPr>
      <w:r w:rsidRPr="000A24EE">
        <w:rPr>
          <w:sz w:val="24"/>
          <w:szCs w:val="24"/>
        </w:rPr>
        <w:t xml:space="preserve">Riikliku tähtsusega </w:t>
      </w:r>
      <w:r w:rsidR="00404807">
        <w:rPr>
          <w:sz w:val="24"/>
          <w:szCs w:val="24"/>
        </w:rPr>
        <w:t xml:space="preserve">teadustaristu </w:t>
      </w:r>
      <w:r w:rsidRPr="000A24EE">
        <w:rPr>
          <w:sz w:val="24"/>
          <w:szCs w:val="24"/>
        </w:rPr>
        <w:t xml:space="preserve">toetuse taotlusvoorus on esile kerkinud järgmine kriitiline küsimus: millistest allikatest võivad asutused katta toetuse omafinantseeringu osa. ETAG pöördus antud küsimuses 20. jaanuaril </w:t>
      </w:r>
      <w:r w:rsidR="008F5428">
        <w:rPr>
          <w:sz w:val="24"/>
          <w:szCs w:val="24"/>
        </w:rPr>
        <w:t xml:space="preserve">kirjalikult </w:t>
      </w:r>
      <w:r w:rsidRPr="000A24EE">
        <w:rPr>
          <w:sz w:val="24"/>
          <w:szCs w:val="24"/>
        </w:rPr>
        <w:t>taristu juhtide poole ning tegi ettepaneku katta taristu toetuse omafinantseering uurimistoetuste ja teaduse tippkeskuse eelarvest</w:t>
      </w:r>
      <w:r w:rsidR="00784D3A">
        <w:rPr>
          <w:sz w:val="24"/>
          <w:szCs w:val="24"/>
        </w:rPr>
        <w:t>.</w:t>
      </w:r>
      <w:r w:rsidR="008F5428">
        <w:rPr>
          <w:sz w:val="24"/>
          <w:szCs w:val="24"/>
        </w:rPr>
        <w:t xml:space="preserve"> </w:t>
      </w:r>
      <w:r>
        <w:rPr>
          <w:sz w:val="24"/>
          <w:szCs w:val="24"/>
        </w:rPr>
        <w:t xml:space="preserve">29.01.2025 </w:t>
      </w:r>
      <w:r w:rsidR="00275BFE">
        <w:rPr>
          <w:sz w:val="24"/>
          <w:szCs w:val="24"/>
        </w:rPr>
        <w:t xml:space="preserve">esitas ETAG HTMile </w:t>
      </w:r>
      <w:r w:rsidR="00581111">
        <w:rPr>
          <w:sz w:val="24"/>
          <w:szCs w:val="24"/>
        </w:rPr>
        <w:t xml:space="preserve">saadetud </w:t>
      </w:r>
      <w:r w:rsidR="00275BFE">
        <w:rPr>
          <w:sz w:val="24"/>
          <w:szCs w:val="24"/>
        </w:rPr>
        <w:t>memo</w:t>
      </w:r>
      <w:r w:rsidR="00581111">
        <w:rPr>
          <w:sz w:val="24"/>
          <w:szCs w:val="24"/>
        </w:rPr>
        <w:t xml:space="preserve">s </w:t>
      </w:r>
      <w:r w:rsidR="00275BFE">
        <w:rPr>
          <w:sz w:val="24"/>
          <w:szCs w:val="24"/>
        </w:rPr>
        <w:t xml:space="preserve">põhjendused </w:t>
      </w:r>
      <w:r w:rsidR="00581111">
        <w:rPr>
          <w:sz w:val="24"/>
          <w:szCs w:val="24"/>
        </w:rPr>
        <w:t xml:space="preserve">eelpoolviidatud rahastuste allikate </w:t>
      </w:r>
      <w:r w:rsidR="00275BFE">
        <w:rPr>
          <w:sz w:val="24"/>
          <w:szCs w:val="24"/>
        </w:rPr>
        <w:t xml:space="preserve">õiguspärasuse kohta. </w:t>
      </w:r>
    </w:p>
    <w:p w14:paraId="2578FC6B" w14:textId="66B4853E" w:rsidR="000A24EE" w:rsidRPr="000A24EE" w:rsidRDefault="00784D3A" w:rsidP="000A24EE">
      <w:pPr>
        <w:jc w:val="both"/>
        <w:rPr>
          <w:sz w:val="24"/>
          <w:szCs w:val="24"/>
        </w:rPr>
      </w:pPr>
      <w:r>
        <w:rPr>
          <w:sz w:val="24"/>
          <w:szCs w:val="24"/>
        </w:rPr>
        <w:t xml:space="preserve">Haridus- ja Teadusministeerium analüüsis Eesti Teadusagentuuri seisukohta ning leiab, et see ei ole </w:t>
      </w:r>
      <w:r w:rsidR="00581111" w:rsidRPr="00581111">
        <w:rPr>
          <w:sz w:val="24"/>
          <w:szCs w:val="24"/>
        </w:rPr>
        <w:t>õiguspärane, kooskõlas vastavate toetuse tingimustega ega ka taristu rahastamise põhimõtete ja eesmärkidega.</w:t>
      </w:r>
      <w:r w:rsidR="00404807">
        <w:rPr>
          <w:sz w:val="24"/>
          <w:szCs w:val="24"/>
        </w:rPr>
        <w:t xml:space="preserve"> </w:t>
      </w:r>
      <w:r w:rsidR="00404807" w:rsidRPr="00404807">
        <w:rPr>
          <w:sz w:val="24"/>
          <w:szCs w:val="24"/>
        </w:rPr>
        <w:t>Sisuliselt on tegemist topeltrahastamisega HTM-i erinevatest toetusmeetmetest</w:t>
      </w:r>
      <w:r w:rsidR="00450C08">
        <w:rPr>
          <w:sz w:val="24"/>
          <w:szCs w:val="24"/>
        </w:rPr>
        <w:t xml:space="preserve">, st samu tegevusi ja kulusid tehakse kahest või enamast toetusmeetmest ning raporteeritakse eri toetusmeetmete all. Samuti ei ole ettepanek kooskõlas uurimistoetuste ning teaduse tippkeskuse toetuse tingimuste </w:t>
      </w:r>
      <w:r w:rsidR="00095194">
        <w:rPr>
          <w:sz w:val="24"/>
          <w:szCs w:val="24"/>
        </w:rPr>
        <w:t>ja</w:t>
      </w:r>
      <w:r w:rsidR="00450C08">
        <w:rPr>
          <w:sz w:val="24"/>
          <w:szCs w:val="24"/>
        </w:rPr>
        <w:t xml:space="preserve"> eesmärkidega.</w:t>
      </w:r>
      <w:r w:rsidR="00581111" w:rsidRPr="00581111">
        <w:rPr>
          <w:sz w:val="24"/>
          <w:szCs w:val="24"/>
        </w:rPr>
        <w:t xml:space="preserve"> </w:t>
      </w:r>
      <w:r w:rsidR="00404807">
        <w:rPr>
          <w:sz w:val="24"/>
          <w:szCs w:val="24"/>
        </w:rPr>
        <w:t>Põhjendame oma seisukohta alljärgnevalt:</w:t>
      </w:r>
    </w:p>
    <w:p w14:paraId="0B2B4F6F" w14:textId="46BA0889" w:rsidR="00682977" w:rsidRPr="00682977" w:rsidRDefault="00682977" w:rsidP="00682977">
      <w:pPr>
        <w:jc w:val="both"/>
        <w:rPr>
          <w:sz w:val="24"/>
          <w:szCs w:val="24"/>
        </w:rPr>
      </w:pPr>
      <w:r w:rsidRPr="00682977">
        <w:rPr>
          <w:sz w:val="24"/>
          <w:szCs w:val="24"/>
        </w:rPr>
        <w:t>1)</w:t>
      </w:r>
      <w:r>
        <w:rPr>
          <w:sz w:val="24"/>
          <w:szCs w:val="24"/>
        </w:rPr>
        <w:t xml:space="preserve"> </w:t>
      </w:r>
      <w:r w:rsidRPr="00682977">
        <w:rPr>
          <w:sz w:val="24"/>
          <w:szCs w:val="24"/>
        </w:rPr>
        <w:t xml:space="preserve">Haridus- ja teadusministri 28. septembri 2023. a määruse nr 36 „Riikliku tähtsusega teadustaristu toetamine“ (edaspidi ka </w:t>
      </w:r>
      <w:r w:rsidRPr="00682977">
        <w:rPr>
          <w:b/>
          <w:bCs/>
          <w:sz w:val="24"/>
          <w:szCs w:val="24"/>
        </w:rPr>
        <w:t>taristu määrus</w:t>
      </w:r>
      <w:r w:rsidRPr="00682977">
        <w:rPr>
          <w:sz w:val="24"/>
          <w:szCs w:val="24"/>
        </w:rPr>
        <w:t>) § 16 lõikest 2 tulenevalt on toetuse tingimuseks omafinantseeringu olemasolu</w:t>
      </w:r>
      <w:r>
        <w:rPr>
          <w:sz w:val="24"/>
          <w:szCs w:val="24"/>
        </w:rPr>
        <w:t xml:space="preserve"> (</w:t>
      </w:r>
      <w:r w:rsidRPr="00682977">
        <w:rPr>
          <w:sz w:val="24"/>
          <w:szCs w:val="24"/>
        </w:rPr>
        <w:t>tegevustoetuse ning investeeringutoetuse puhul kokku</w:t>
      </w:r>
      <w:r>
        <w:rPr>
          <w:sz w:val="24"/>
          <w:szCs w:val="24"/>
        </w:rPr>
        <w:t xml:space="preserve"> </w:t>
      </w:r>
      <w:r w:rsidRPr="00682977">
        <w:rPr>
          <w:sz w:val="24"/>
          <w:szCs w:val="24"/>
        </w:rPr>
        <w:t>vähemalt 30% ja rahvusvahelise teaduskoostöö toetuse puhul vähemalt 5%</w:t>
      </w:r>
      <w:r>
        <w:rPr>
          <w:sz w:val="24"/>
          <w:szCs w:val="24"/>
        </w:rPr>
        <w:t>)</w:t>
      </w:r>
      <w:r w:rsidRPr="00682977">
        <w:rPr>
          <w:sz w:val="24"/>
          <w:szCs w:val="24"/>
        </w:rPr>
        <w:t>. Taristu määruse seletuskirjas on selgitatud, kuidas ja millistest allikatest võib omafinantseeringut katta</w:t>
      </w:r>
      <w:r>
        <w:rPr>
          <w:sz w:val="24"/>
          <w:szCs w:val="24"/>
        </w:rPr>
        <w:t>:</w:t>
      </w:r>
      <w:r w:rsidRPr="00682977">
        <w:rPr>
          <w:sz w:val="24"/>
          <w:szCs w:val="24"/>
        </w:rPr>
        <w:t xml:space="preserve"> „Lubatud on kõikide selliste vahendite kasutamine, mille puhul rahastaja ei ole seadnud piiranguid nende vahendite näitamisele omafinantseeringuna (nt </w:t>
      </w:r>
      <w:r w:rsidRPr="002A50D1">
        <w:rPr>
          <w:b/>
          <w:bCs/>
          <w:sz w:val="24"/>
          <w:szCs w:val="24"/>
        </w:rPr>
        <w:t>baasfinantseerimine, asutuse teenitud omatulu, mõne ministeeriumi toetus teadustaristule</w:t>
      </w:r>
      <w:r w:rsidRPr="00682977">
        <w:rPr>
          <w:sz w:val="24"/>
          <w:szCs w:val="24"/>
        </w:rPr>
        <w:t xml:space="preserve"> jm). Kuigi asutustelt oodatava panuse määr võib esmapilgul (võrreldes lõppenud ja käivituva perioodi struktuurivahendite meetmete või tuumiktaristu toetusmeetmega) tunduda suur, tuleb siin arvestada, et määruse alusel eraldatava riigipoolse toetuse skoop on varasemate meetmetega võrreldes terviklikum ja laiem: toetuse üks osa on tegevustoetus, mis on seni olnud asutuste kui teadustaristute omanike vastutada ja kanda. TAIE arengukava teadustaristule pühendatud tegevussuunas ja teadustaristu toetamise põhimõtetes on olulisel kohal </w:t>
      </w:r>
      <w:r w:rsidRPr="00682977">
        <w:rPr>
          <w:b/>
          <w:bCs/>
          <w:sz w:val="24"/>
          <w:szCs w:val="24"/>
          <w:u w:val="single"/>
        </w:rPr>
        <w:t>jätkusuutlik majandamismudel, mille vundament on asutuse seatud prioriteetide ja võetud vastutuse ning riigipoolse täiendava rahastamise kombinatsioon. Riikliku tähtsusega teadustaristu tõhus toimimine on omaniku ja riigi ühine pingutus.</w:t>
      </w:r>
      <w:r>
        <w:rPr>
          <w:sz w:val="24"/>
          <w:szCs w:val="24"/>
        </w:rPr>
        <w:t>“.</w:t>
      </w:r>
    </w:p>
    <w:p w14:paraId="6F89AEA7" w14:textId="33541F4D" w:rsidR="009E4B71" w:rsidRDefault="00682977" w:rsidP="000A24EE">
      <w:pPr>
        <w:jc w:val="both"/>
        <w:rPr>
          <w:sz w:val="24"/>
          <w:szCs w:val="24"/>
        </w:rPr>
      </w:pPr>
      <w:r w:rsidRPr="00682977">
        <w:rPr>
          <w:sz w:val="24"/>
          <w:szCs w:val="24"/>
        </w:rPr>
        <w:t xml:space="preserve">Taristu toetuse </w:t>
      </w:r>
      <w:r w:rsidR="00EE7481">
        <w:rPr>
          <w:sz w:val="24"/>
          <w:szCs w:val="24"/>
        </w:rPr>
        <w:t xml:space="preserve">omafinantseeringu </w:t>
      </w:r>
      <w:r w:rsidRPr="00682977">
        <w:rPr>
          <w:sz w:val="24"/>
          <w:szCs w:val="24"/>
        </w:rPr>
        <w:t>rakendamisel oli selge eesmärk – tagada asutuste vastutus taristu objektide eest. Ainus HTM-i toetusmeede, mis on mõeldud teiste toetuste omafinantseeringu katmiseks, on baasfinantseerimine. Sealjuures peavad asutused seadma taristu toetuse taotlemisel selged prioriteedid ja eesmärgid – vastavalt sellele, kui suures mahus asutus suudab</w:t>
      </w:r>
      <w:r w:rsidR="00EE7481">
        <w:rPr>
          <w:sz w:val="24"/>
          <w:szCs w:val="24"/>
        </w:rPr>
        <w:t xml:space="preserve"> omafinantseeringut</w:t>
      </w:r>
      <w:r w:rsidRPr="00682977">
        <w:rPr>
          <w:sz w:val="24"/>
          <w:szCs w:val="24"/>
        </w:rPr>
        <w:t xml:space="preserve"> katta</w:t>
      </w:r>
      <w:r w:rsidR="00450C08">
        <w:rPr>
          <w:sz w:val="24"/>
          <w:szCs w:val="24"/>
        </w:rPr>
        <w:t xml:space="preserve"> ning võtta vastutust teadustaristu </w:t>
      </w:r>
      <w:r w:rsidR="00594D90">
        <w:rPr>
          <w:sz w:val="24"/>
          <w:szCs w:val="24"/>
        </w:rPr>
        <w:t>säilitamise ja arendamise</w:t>
      </w:r>
      <w:r w:rsidR="00450C08">
        <w:rPr>
          <w:sz w:val="24"/>
          <w:szCs w:val="24"/>
        </w:rPr>
        <w:t xml:space="preserve"> eest</w:t>
      </w:r>
      <w:r w:rsidRPr="00682977">
        <w:rPr>
          <w:sz w:val="24"/>
          <w:szCs w:val="24"/>
        </w:rPr>
        <w:t>.</w:t>
      </w:r>
    </w:p>
    <w:p w14:paraId="7D2C915C" w14:textId="74D9C6B1" w:rsidR="00330637" w:rsidRDefault="009E4B71" w:rsidP="000A24EE">
      <w:pPr>
        <w:jc w:val="both"/>
        <w:rPr>
          <w:sz w:val="24"/>
          <w:szCs w:val="24"/>
        </w:rPr>
      </w:pPr>
      <w:r>
        <w:rPr>
          <w:sz w:val="24"/>
          <w:szCs w:val="24"/>
        </w:rPr>
        <w:t xml:space="preserve">2) </w:t>
      </w:r>
      <w:r w:rsidR="006F7C17">
        <w:rPr>
          <w:sz w:val="24"/>
          <w:szCs w:val="24"/>
        </w:rPr>
        <w:t>Riigieelarveliste toetuste kui avaliku hüve jaotamisel ei saa lähtuda eraõiguses lähtuvast põhimõttest, et lubatud on kõik, mis pole keelatud. Vastupidi,</w:t>
      </w:r>
      <w:r w:rsidR="00330637">
        <w:rPr>
          <w:sz w:val="24"/>
          <w:szCs w:val="24"/>
        </w:rPr>
        <w:t xml:space="preserve"> avalikus õiguses </w:t>
      </w:r>
      <w:r w:rsidR="00B06139">
        <w:rPr>
          <w:sz w:val="24"/>
          <w:szCs w:val="24"/>
        </w:rPr>
        <w:lastRenderedPageBreak/>
        <w:t xml:space="preserve">juhindutakse </w:t>
      </w:r>
      <w:r w:rsidR="00330637">
        <w:rPr>
          <w:sz w:val="24"/>
          <w:szCs w:val="24"/>
        </w:rPr>
        <w:t>eelkõige printsiibist, et</w:t>
      </w:r>
      <w:r w:rsidR="006F7C17">
        <w:rPr>
          <w:sz w:val="24"/>
          <w:szCs w:val="24"/>
        </w:rPr>
        <w:t xml:space="preserve"> lubatud on vaid need tegevused ja tingimused, mis õigusaktidega on ette nähtud. </w:t>
      </w:r>
    </w:p>
    <w:p w14:paraId="2D7859BB" w14:textId="617C562B" w:rsidR="000A24EE" w:rsidRPr="000A24EE" w:rsidRDefault="00330637" w:rsidP="000A24EE">
      <w:pPr>
        <w:jc w:val="both"/>
        <w:rPr>
          <w:sz w:val="24"/>
          <w:szCs w:val="24"/>
        </w:rPr>
      </w:pPr>
      <w:r>
        <w:rPr>
          <w:sz w:val="24"/>
          <w:szCs w:val="24"/>
        </w:rPr>
        <w:t xml:space="preserve">3) </w:t>
      </w:r>
      <w:r w:rsidR="00A71077">
        <w:rPr>
          <w:sz w:val="24"/>
          <w:szCs w:val="24"/>
        </w:rPr>
        <w:t>Uurimistoetusest teadustaristu toetuse omafinantseeringut katta ei ole lubatud. U</w:t>
      </w:r>
      <w:r w:rsidR="006F7C17">
        <w:rPr>
          <w:sz w:val="24"/>
          <w:szCs w:val="24"/>
        </w:rPr>
        <w:t>urimistoetus</w:t>
      </w:r>
      <w:r w:rsidR="00A71077">
        <w:rPr>
          <w:sz w:val="24"/>
          <w:szCs w:val="24"/>
        </w:rPr>
        <w:t xml:space="preserve">e näol on </w:t>
      </w:r>
      <w:r w:rsidR="006F7C17">
        <w:rPr>
          <w:sz w:val="24"/>
          <w:szCs w:val="24"/>
        </w:rPr>
        <w:t>tegemist</w:t>
      </w:r>
      <w:r w:rsidR="000A24EE" w:rsidRPr="000A24EE">
        <w:rPr>
          <w:sz w:val="24"/>
          <w:szCs w:val="24"/>
        </w:rPr>
        <w:t xml:space="preserve"> </w:t>
      </w:r>
      <w:r>
        <w:rPr>
          <w:sz w:val="24"/>
          <w:szCs w:val="24"/>
        </w:rPr>
        <w:t xml:space="preserve">(eraldiseisva) </w:t>
      </w:r>
      <w:r w:rsidR="000A24EE" w:rsidRPr="000A24EE">
        <w:rPr>
          <w:sz w:val="24"/>
          <w:szCs w:val="24"/>
        </w:rPr>
        <w:t>kõrgetasemelise teadus- ja arendusprojekti rahastamiseks eraldatav</w:t>
      </w:r>
      <w:r w:rsidR="006F7C17">
        <w:rPr>
          <w:sz w:val="24"/>
          <w:szCs w:val="24"/>
        </w:rPr>
        <w:t>a</w:t>
      </w:r>
      <w:r w:rsidR="000A24EE" w:rsidRPr="000A24EE">
        <w:rPr>
          <w:sz w:val="24"/>
          <w:szCs w:val="24"/>
        </w:rPr>
        <w:t xml:space="preserve"> toetus</w:t>
      </w:r>
      <w:r w:rsidR="006F7C17">
        <w:rPr>
          <w:sz w:val="24"/>
          <w:szCs w:val="24"/>
        </w:rPr>
        <w:t>ega (TAKS § 2</w:t>
      </w:r>
      <w:r>
        <w:rPr>
          <w:sz w:val="24"/>
          <w:szCs w:val="24"/>
        </w:rPr>
        <w:t xml:space="preserve"> p 8)</w:t>
      </w:r>
      <w:r w:rsidR="000A24EE" w:rsidRPr="000A24EE">
        <w:rPr>
          <w:sz w:val="24"/>
          <w:szCs w:val="24"/>
        </w:rPr>
        <w:t>.</w:t>
      </w:r>
      <w:r>
        <w:rPr>
          <w:sz w:val="24"/>
          <w:szCs w:val="24"/>
        </w:rPr>
        <w:t xml:space="preserve"> Uurimistoetuste tingimused ja korra kehtestab ETAG kooskõlastatult HTMiga (TAKS § 16</w:t>
      </w:r>
      <w:r w:rsidRPr="00330637">
        <w:rPr>
          <w:sz w:val="24"/>
          <w:szCs w:val="24"/>
          <w:vertAlign w:val="superscript"/>
        </w:rPr>
        <w:t>1</w:t>
      </w:r>
      <w:r>
        <w:rPr>
          <w:sz w:val="24"/>
          <w:szCs w:val="24"/>
        </w:rPr>
        <w:t xml:space="preserve"> lg 1).</w:t>
      </w:r>
      <w:r w:rsidR="00A71077">
        <w:rPr>
          <w:sz w:val="24"/>
          <w:szCs w:val="24"/>
        </w:rPr>
        <w:t xml:space="preserve"> ETAGi juhatuse 05.01.2024 kinnitatud käskkirja „Granditaotluse eelarve koostamise juhend“ punktis 2.3.1.2. on loetletud s</w:t>
      </w:r>
      <w:r w:rsidR="00A71077" w:rsidRPr="00A71077">
        <w:rPr>
          <w:sz w:val="24"/>
          <w:szCs w:val="24"/>
        </w:rPr>
        <w:t>tardi- ja rühmagrand</w:t>
      </w:r>
      <w:r w:rsidR="00A71077">
        <w:rPr>
          <w:sz w:val="24"/>
          <w:szCs w:val="24"/>
        </w:rPr>
        <w:t xml:space="preserve">i aluseks olevad abikõlbulikud kulud, kuid teiste toetusmeetmete (teadustaristu toetus) omafinantseeringuna kasutamist ette pole nähtud. </w:t>
      </w:r>
      <w:r w:rsidR="00A71077" w:rsidRPr="00B06139">
        <w:rPr>
          <w:b/>
          <w:bCs/>
          <w:sz w:val="24"/>
          <w:szCs w:val="24"/>
        </w:rPr>
        <w:t xml:space="preserve">Seega puudub </w:t>
      </w:r>
      <w:r w:rsidR="000A24EE" w:rsidRPr="00B06139">
        <w:rPr>
          <w:b/>
          <w:bCs/>
          <w:sz w:val="24"/>
          <w:szCs w:val="24"/>
        </w:rPr>
        <w:t>ETAGi ettepanek</w:t>
      </w:r>
      <w:r w:rsidR="00A71077" w:rsidRPr="00B06139">
        <w:rPr>
          <w:b/>
          <w:bCs/>
          <w:sz w:val="24"/>
          <w:szCs w:val="24"/>
        </w:rPr>
        <w:t>ul</w:t>
      </w:r>
      <w:r w:rsidR="00B06139" w:rsidRPr="00B06139">
        <w:rPr>
          <w:b/>
          <w:bCs/>
          <w:sz w:val="24"/>
          <w:szCs w:val="24"/>
        </w:rPr>
        <w:t xml:space="preserve"> -</w:t>
      </w:r>
      <w:r w:rsidR="000A24EE" w:rsidRPr="00B06139">
        <w:rPr>
          <w:b/>
          <w:bCs/>
          <w:sz w:val="24"/>
          <w:szCs w:val="24"/>
        </w:rPr>
        <w:t xml:space="preserve"> lisada vastavate </w:t>
      </w:r>
      <w:r w:rsidR="00450C08">
        <w:rPr>
          <w:b/>
          <w:bCs/>
          <w:sz w:val="24"/>
          <w:szCs w:val="24"/>
        </w:rPr>
        <w:t>uurimistoetuste</w:t>
      </w:r>
      <w:r w:rsidR="000A24EE" w:rsidRPr="00B06139">
        <w:rPr>
          <w:b/>
          <w:bCs/>
          <w:sz w:val="24"/>
          <w:szCs w:val="24"/>
        </w:rPr>
        <w:t xml:space="preserve"> aruandesse uus kululiik (</w:t>
      </w:r>
      <w:r w:rsidR="00450C08">
        <w:rPr>
          <w:b/>
          <w:bCs/>
          <w:sz w:val="24"/>
          <w:szCs w:val="24"/>
        </w:rPr>
        <w:t>teadus</w:t>
      </w:r>
      <w:r w:rsidR="000A24EE" w:rsidRPr="00B06139">
        <w:rPr>
          <w:b/>
          <w:bCs/>
          <w:sz w:val="24"/>
          <w:szCs w:val="24"/>
        </w:rPr>
        <w:t xml:space="preserve">taristu </w:t>
      </w:r>
      <w:r w:rsidR="00450C08">
        <w:rPr>
          <w:b/>
          <w:bCs/>
          <w:sz w:val="24"/>
          <w:szCs w:val="24"/>
        </w:rPr>
        <w:t>toetuse omafinantseering</w:t>
      </w:r>
      <w:r w:rsidR="000A24EE" w:rsidRPr="00B06139">
        <w:rPr>
          <w:b/>
          <w:bCs/>
          <w:sz w:val="24"/>
          <w:szCs w:val="24"/>
        </w:rPr>
        <w:t>)</w:t>
      </w:r>
      <w:r w:rsidR="00B06139" w:rsidRPr="00B06139">
        <w:rPr>
          <w:b/>
          <w:bCs/>
          <w:sz w:val="24"/>
          <w:szCs w:val="24"/>
        </w:rPr>
        <w:t xml:space="preserve"> -</w:t>
      </w:r>
      <w:r w:rsidR="000A24EE" w:rsidRPr="00B06139">
        <w:rPr>
          <w:b/>
          <w:bCs/>
          <w:sz w:val="24"/>
          <w:szCs w:val="24"/>
        </w:rPr>
        <w:t xml:space="preserve"> õiguslik alus</w:t>
      </w:r>
      <w:r w:rsidR="00B06139" w:rsidRPr="00B06139">
        <w:rPr>
          <w:b/>
          <w:bCs/>
          <w:sz w:val="24"/>
          <w:szCs w:val="24"/>
        </w:rPr>
        <w:t xml:space="preserve"> ja see lubatud ei ole</w:t>
      </w:r>
      <w:r w:rsidR="000A24EE" w:rsidRPr="00B06139">
        <w:rPr>
          <w:b/>
          <w:bCs/>
          <w:sz w:val="24"/>
          <w:szCs w:val="24"/>
        </w:rPr>
        <w:t>.</w:t>
      </w:r>
      <w:r w:rsidR="000A24EE" w:rsidRPr="000A24EE">
        <w:rPr>
          <w:sz w:val="24"/>
          <w:szCs w:val="24"/>
        </w:rPr>
        <w:t xml:space="preserve"> Samuti ei ole võimalik juba välja antud toetuse tingimusi tagantjärgi muuta.</w:t>
      </w:r>
    </w:p>
    <w:p w14:paraId="7D1731FF" w14:textId="6A322A13" w:rsidR="000A24EE" w:rsidRPr="000A24EE" w:rsidRDefault="00AA2140" w:rsidP="000A24EE">
      <w:pPr>
        <w:jc w:val="both"/>
        <w:rPr>
          <w:sz w:val="24"/>
          <w:szCs w:val="24"/>
        </w:rPr>
      </w:pPr>
      <w:r>
        <w:rPr>
          <w:sz w:val="24"/>
          <w:szCs w:val="24"/>
        </w:rPr>
        <w:t>4) Samuti ei ole mõeldud t</w:t>
      </w:r>
      <w:r w:rsidR="000A24EE" w:rsidRPr="000A24EE">
        <w:rPr>
          <w:sz w:val="24"/>
          <w:szCs w:val="24"/>
        </w:rPr>
        <w:t>eaduse tippkeskuste toetus</w:t>
      </w:r>
      <w:r>
        <w:rPr>
          <w:sz w:val="24"/>
          <w:szCs w:val="24"/>
        </w:rPr>
        <w:t xml:space="preserve"> </w:t>
      </w:r>
      <w:r w:rsidR="000A24EE" w:rsidRPr="000A24EE">
        <w:rPr>
          <w:sz w:val="24"/>
          <w:szCs w:val="24"/>
        </w:rPr>
        <w:t>teiste toetuste omafinantseeringu katmiseks.</w:t>
      </w:r>
      <w:r w:rsidR="00B06139">
        <w:rPr>
          <w:sz w:val="24"/>
          <w:szCs w:val="24"/>
        </w:rPr>
        <w:t xml:space="preserve"> Tippkeskuste toetuste jagamist reguleerib </w:t>
      </w:r>
      <w:r>
        <w:rPr>
          <w:sz w:val="24"/>
          <w:szCs w:val="24"/>
        </w:rPr>
        <w:t>TAKS § 17</w:t>
      </w:r>
      <w:r w:rsidRPr="00AA2140">
        <w:rPr>
          <w:sz w:val="24"/>
          <w:szCs w:val="24"/>
          <w:vertAlign w:val="superscript"/>
        </w:rPr>
        <w:t>1</w:t>
      </w:r>
      <w:r>
        <w:rPr>
          <w:sz w:val="24"/>
          <w:szCs w:val="24"/>
        </w:rPr>
        <w:t xml:space="preserve"> lg 2</w:t>
      </w:r>
      <w:r w:rsidR="00B06139">
        <w:rPr>
          <w:sz w:val="24"/>
          <w:szCs w:val="24"/>
        </w:rPr>
        <w:t xml:space="preserve"> alusel kehtestatud</w:t>
      </w:r>
      <w:r>
        <w:rPr>
          <w:sz w:val="24"/>
          <w:szCs w:val="24"/>
        </w:rPr>
        <w:t xml:space="preserve"> haridus-ja teadusminist</w:t>
      </w:r>
      <w:r w:rsidR="00B06139">
        <w:rPr>
          <w:sz w:val="24"/>
          <w:szCs w:val="24"/>
        </w:rPr>
        <w:t>ri</w:t>
      </w:r>
      <w:r>
        <w:rPr>
          <w:sz w:val="24"/>
          <w:szCs w:val="24"/>
        </w:rPr>
        <w:t xml:space="preserve"> 11.</w:t>
      </w:r>
      <w:r w:rsidR="00B06139">
        <w:rPr>
          <w:sz w:val="24"/>
          <w:szCs w:val="24"/>
        </w:rPr>
        <w:t xml:space="preserve"> mai </w:t>
      </w:r>
      <w:r>
        <w:rPr>
          <w:sz w:val="24"/>
          <w:szCs w:val="24"/>
        </w:rPr>
        <w:t>2023</w:t>
      </w:r>
      <w:r w:rsidR="00B06139">
        <w:rPr>
          <w:sz w:val="24"/>
          <w:szCs w:val="24"/>
        </w:rPr>
        <w:t>. a.</w:t>
      </w:r>
      <w:r>
        <w:rPr>
          <w:sz w:val="24"/>
          <w:szCs w:val="24"/>
        </w:rPr>
        <w:t xml:space="preserve"> määrus nr 13 „Teaduse tippkeskuste nimetamise ja finantseerimise tingimused ja kord“ (edaspidi </w:t>
      </w:r>
      <w:r w:rsidRPr="00AA2140">
        <w:rPr>
          <w:b/>
          <w:bCs/>
          <w:sz w:val="24"/>
          <w:szCs w:val="24"/>
        </w:rPr>
        <w:t>tippkeskuste määrus</w:t>
      </w:r>
      <w:r>
        <w:rPr>
          <w:sz w:val="24"/>
          <w:szCs w:val="24"/>
        </w:rPr>
        <w:t xml:space="preserve">). Tippkeskuste määruse §-is 4 on toodud toetatavad tegevused, kuid need ei sisalda võimalust kasutada tippkeskuste toetust teiste toetusmeetmete (teadustaristu toetus) omafinantseeringuna. Kõnealuse </w:t>
      </w:r>
      <w:r w:rsidRPr="00AA2140">
        <w:rPr>
          <w:sz w:val="24"/>
          <w:szCs w:val="24"/>
        </w:rPr>
        <w:t>määruse seletuskir</w:t>
      </w:r>
      <w:r>
        <w:rPr>
          <w:sz w:val="24"/>
          <w:szCs w:val="24"/>
        </w:rPr>
        <w:t xml:space="preserve">jas on selgitatud </w:t>
      </w:r>
      <w:r w:rsidRPr="00AA2140">
        <w:rPr>
          <w:sz w:val="24"/>
          <w:szCs w:val="24"/>
        </w:rPr>
        <w:t>§ 4 lg 1 p 2 (</w:t>
      </w:r>
      <w:r w:rsidR="003A6807">
        <w:rPr>
          <w:sz w:val="24"/>
          <w:szCs w:val="24"/>
        </w:rPr>
        <w:t>aparatuuri, seadmete ja tarkvara soetamine</w:t>
      </w:r>
      <w:r w:rsidRPr="00AA2140">
        <w:rPr>
          <w:sz w:val="24"/>
          <w:szCs w:val="24"/>
        </w:rPr>
        <w:t>)</w:t>
      </w:r>
      <w:r w:rsidR="00FC11EF">
        <w:rPr>
          <w:sz w:val="24"/>
          <w:szCs w:val="24"/>
        </w:rPr>
        <w:t xml:space="preserve"> kohta järgmist</w:t>
      </w:r>
      <w:r w:rsidRPr="00AA2140">
        <w:rPr>
          <w:sz w:val="24"/>
          <w:szCs w:val="24"/>
        </w:rPr>
        <w:t>:</w:t>
      </w:r>
      <w:r w:rsidR="003A6807">
        <w:rPr>
          <w:sz w:val="24"/>
          <w:szCs w:val="24"/>
        </w:rPr>
        <w:t xml:space="preserve"> „M</w:t>
      </w:r>
      <w:r w:rsidRPr="00AA2140">
        <w:rPr>
          <w:sz w:val="24"/>
          <w:szCs w:val="24"/>
        </w:rPr>
        <w:t>eetmest toetatakse teadus- ja arendustegevuseks vajaliku aparatuuri, seadmete ja tarkvara soetamist, hooldamist samuti olemasolevate seadmete ja aparatuuri kaasajastamist ja hooldamist (sh remonti), mis on seotud teaduse tippkeskuse tehnilise võimekuse ja töövahendite tagamisega. Vastavalt määruse eelnõu § 5 lõikele 2, on teaduse tippkeskuse toetusest võimalik seadmetesse, aparatuuri ja tarkvarasse investeerida kuni 20% toetuse kogumahust. Meetme eesmärk ei ole uute teadustaristu objektide loomine, vaid eelkõige olemasoleva taristu kohandamine ja kaasajastamine, mis on teaduse tippkeskuses läbiviidava kõrgetasemelise ja kvaliteetse teadustegevuse eelduseks</w:t>
      </w:r>
      <w:r w:rsidR="00FC11EF">
        <w:rPr>
          <w:sz w:val="24"/>
          <w:szCs w:val="24"/>
        </w:rPr>
        <w:t>.</w:t>
      </w:r>
      <w:r w:rsidR="003A6807">
        <w:rPr>
          <w:sz w:val="24"/>
          <w:szCs w:val="24"/>
        </w:rPr>
        <w:t>“</w:t>
      </w:r>
      <w:r w:rsidR="00FC11EF">
        <w:rPr>
          <w:sz w:val="24"/>
          <w:szCs w:val="24"/>
        </w:rPr>
        <w:t xml:space="preserve"> </w:t>
      </w:r>
      <w:r w:rsidR="003A6807">
        <w:rPr>
          <w:sz w:val="24"/>
          <w:szCs w:val="24"/>
        </w:rPr>
        <w:t>Sealjuures ei ole teaduse tippkeskuse toetuse eesmärk soetada ja arendada riiklikult olulist teadustaristu</w:t>
      </w:r>
      <w:r w:rsidR="00624350">
        <w:rPr>
          <w:sz w:val="24"/>
          <w:szCs w:val="24"/>
        </w:rPr>
        <w:t>t</w:t>
      </w:r>
      <w:r w:rsidR="003A6807">
        <w:rPr>
          <w:sz w:val="24"/>
          <w:szCs w:val="24"/>
        </w:rPr>
        <w:t xml:space="preserve"> vaid toetuse raames on võimalik soetada seadmeid, mis on vajalikud tippkeskuse tegevuse läbiviimiseks. Vastava infrastruktuuri vajadus peaks olema juba taotluses ja tegevuskavas kirjeldatud ning eelarvesse arvestatud.</w:t>
      </w:r>
      <w:r w:rsidR="000A24EE" w:rsidRPr="000A24EE">
        <w:rPr>
          <w:sz w:val="24"/>
          <w:szCs w:val="24"/>
        </w:rPr>
        <w:t xml:space="preserve"> </w:t>
      </w:r>
      <w:r w:rsidR="00FC11EF" w:rsidRPr="00B06139">
        <w:rPr>
          <w:b/>
          <w:bCs/>
          <w:sz w:val="24"/>
          <w:szCs w:val="24"/>
        </w:rPr>
        <w:t xml:space="preserve">Seega puudub </w:t>
      </w:r>
      <w:r w:rsidR="00F81983">
        <w:rPr>
          <w:b/>
          <w:bCs/>
          <w:sz w:val="24"/>
          <w:szCs w:val="24"/>
        </w:rPr>
        <w:t>tippkeskuse toetuse</w:t>
      </w:r>
      <w:r w:rsidR="000A24EE" w:rsidRPr="00B06139">
        <w:rPr>
          <w:b/>
          <w:bCs/>
          <w:sz w:val="24"/>
          <w:szCs w:val="24"/>
        </w:rPr>
        <w:t xml:space="preserve"> aruandesse uue kululiigi lisami</w:t>
      </w:r>
      <w:r w:rsidR="00B06139" w:rsidRPr="00B06139">
        <w:rPr>
          <w:b/>
          <w:bCs/>
          <w:sz w:val="24"/>
          <w:szCs w:val="24"/>
        </w:rPr>
        <w:t>sel</w:t>
      </w:r>
      <w:r w:rsidR="000A24EE" w:rsidRPr="00B06139">
        <w:rPr>
          <w:b/>
          <w:bCs/>
          <w:sz w:val="24"/>
          <w:szCs w:val="24"/>
        </w:rPr>
        <w:t xml:space="preserve"> (</w:t>
      </w:r>
      <w:r w:rsidR="00F81983">
        <w:rPr>
          <w:b/>
          <w:bCs/>
          <w:sz w:val="24"/>
          <w:szCs w:val="24"/>
        </w:rPr>
        <w:t>teadus</w:t>
      </w:r>
      <w:r w:rsidR="000A24EE" w:rsidRPr="00B06139">
        <w:rPr>
          <w:b/>
          <w:bCs/>
          <w:sz w:val="24"/>
          <w:szCs w:val="24"/>
        </w:rPr>
        <w:t xml:space="preserve">taristu </w:t>
      </w:r>
      <w:r w:rsidR="00F81983">
        <w:rPr>
          <w:b/>
          <w:bCs/>
          <w:sz w:val="24"/>
          <w:szCs w:val="24"/>
        </w:rPr>
        <w:t>toetuse omafinantseering</w:t>
      </w:r>
      <w:r w:rsidR="000A24EE" w:rsidRPr="00B06139">
        <w:rPr>
          <w:b/>
          <w:bCs/>
          <w:sz w:val="24"/>
          <w:szCs w:val="24"/>
        </w:rPr>
        <w:t>) õiguslik alus</w:t>
      </w:r>
      <w:r w:rsidR="00B06139" w:rsidRPr="00B06139">
        <w:rPr>
          <w:b/>
          <w:bCs/>
          <w:sz w:val="24"/>
          <w:szCs w:val="24"/>
        </w:rPr>
        <w:t xml:space="preserve"> ja see lubatud ei ole</w:t>
      </w:r>
      <w:r w:rsidR="000A24EE" w:rsidRPr="00B06139">
        <w:rPr>
          <w:b/>
          <w:bCs/>
          <w:sz w:val="24"/>
          <w:szCs w:val="24"/>
        </w:rPr>
        <w:t>.</w:t>
      </w:r>
    </w:p>
    <w:p w14:paraId="55FB26BC" w14:textId="7D3C144B" w:rsidR="000A24EE" w:rsidRDefault="001B18C0" w:rsidP="000A24EE">
      <w:pPr>
        <w:jc w:val="both"/>
        <w:rPr>
          <w:sz w:val="24"/>
          <w:szCs w:val="24"/>
        </w:rPr>
      </w:pPr>
      <w:r>
        <w:rPr>
          <w:sz w:val="24"/>
          <w:szCs w:val="24"/>
        </w:rPr>
        <w:t xml:space="preserve">Kokkuvõttes märgime täiendavalt, et </w:t>
      </w:r>
      <w:r w:rsidR="000A24EE" w:rsidRPr="000A24EE">
        <w:rPr>
          <w:sz w:val="24"/>
          <w:szCs w:val="24"/>
        </w:rPr>
        <w:t>ETAGi pakutud lahendus viib rahastamise vastutuse asutuselt teadlaste õlgadele. Asutus ei tee strateegilisi valikuid</w:t>
      </w:r>
      <w:r>
        <w:rPr>
          <w:sz w:val="24"/>
          <w:szCs w:val="24"/>
        </w:rPr>
        <w:t xml:space="preserve">, </w:t>
      </w:r>
      <w:r w:rsidR="000A24EE" w:rsidRPr="000A24EE">
        <w:rPr>
          <w:sz w:val="24"/>
          <w:szCs w:val="24"/>
        </w:rPr>
        <w:t xml:space="preserve">vaid võimaldab teadlastel toetust taotleda juhul, kui nad ise suudavad teistest rahastusmeetmetest katta </w:t>
      </w:r>
      <w:r w:rsidR="00F81983">
        <w:rPr>
          <w:sz w:val="24"/>
          <w:szCs w:val="24"/>
        </w:rPr>
        <w:t>omafinantseeringu</w:t>
      </w:r>
      <w:r w:rsidR="000A24EE" w:rsidRPr="000A24EE">
        <w:rPr>
          <w:sz w:val="24"/>
          <w:szCs w:val="24"/>
        </w:rPr>
        <w:t xml:space="preserve"> osa</w:t>
      </w:r>
      <w:r>
        <w:rPr>
          <w:sz w:val="24"/>
          <w:szCs w:val="24"/>
        </w:rPr>
        <w:t xml:space="preserve">. See aga ei ole olnud </w:t>
      </w:r>
      <w:r w:rsidR="00F81983">
        <w:rPr>
          <w:sz w:val="24"/>
          <w:szCs w:val="24"/>
        </w:rPr>
        <w:t>poliitikakujundaja</w:t>
      </w:r>
      <w:r w:rsidR="000B7240">
        <w:rPr>
          <w:sz w:val="24"/>
          <w:szCs w:val="24"/>
        </w:rPr>
        <w:t xml:space="preserve"> </w:t>
      </w:r>
      <w:r>
        <w:rPr>
          <w:sz w:val="24"/>
          <w:szCs w:val="24"/>
        </w:rPr>
        <w:t xml:space="preserve">eesmärgiks </w:t>
      </w:r>
      <w:r w:rsidR="00F81983">
        <w:rPr>
          <w:sz w:val="24"/>
          <w:szCs w:val="24"/>
        </w:rPr>
        <w:t xml:space="preserve">riikliku tähtsusega teadustaristu </w:t>
      </w:r>
      <w:r>
        <w:rPr>
          <w:sz w:val="24"/>
          <w:szCs w:val="24"/>
        </w:rPr>
        <w:t>toetuste tingimust</w:t>
      </w:r>
      <w:r w:rsidR="00624350">
        <w:rPr>
          <w:sz w:val="24"/>
          <w:szCs w:val="24"/>
        </w:rPr>
        <w:t>e</w:t>
      </w:r>
      <w:r>
        <w:rPr>
          <w:sz w:val="24"/>
          <w:szCs w:val="24"/>
        </w:rPr>
        <w:t xml:space="preserve"> väljatöötamisel.</w:t>
      </w:r>
      <w:r w:rsidR="00594EC8">
        <w:rPr>
          <w:sz w:val="24"/>
          <w:szCs w:val="24"/>
        </w:rPr>
        <w:t xml:space="preserve"> Seadmete ja aparatuuri ostmine on lisaks riikliku tähtsusega </w:t>
      </w:r>
      <w:r w:rsidR="00F81983">
        <w:rPr>
          <w:sz w:val="24"/>
          <w:szCs w:val="24"/>
        </w:rPr>
        <w:t>teadustaristu</w:t>
      </w:r>
      <w:r w:rsidR="00594EC8">
        <w:rPr>
          <w:sz w:val="24"/>
          <w:szCs w:val="24"/>
        </w:rPr>
        <w:t xml:space="preserve"> meetmele lubatud veel mitmest riigieelarvest ja struktuuritoetustest rahastatavast meetmest, kuid reeglina on selle all </w:t>
      </w:r>
      <w:r w:rsidR="00594EC8">
        <w:rPr>
          <w:sz w:val="24"/>
          <w:szCs w:val="24"/>
        </w:rPr>
        <w:lastRenderedPageBreak/>
        <w:t>mõeldud konkreetse (uurimis)projekti läbiviimseks vajalikke seadmeid toetuse andmise tingimustes määratud mahus</w:t>
      </w:r>
      <w:r w:rsidR="00F81983">
        <w:rPr>
          <w:sz w:val="24"/>
          <w:szCs w:val="24"/>
        </w:rPr>
        <w:t xml:space="preserve"> ja tingimustel</w:t>
      </w:r>
      <w:r w:rsidR="00594EC8">
        <w:rPr>
          <w:sz w:val="24"/>
          <w:szCs w:val="24"/>
        </w:rPr>
        <w:t>. See ei välista siiski, et tulevikus võivad muudest allikatest rahastatud seadmed või muu i</w:t>
      </w:r>
      <w:r w:rsidR="00276B24">
        <w:rPr>
          <w:sz w:val="24"/>
          <w:szCs w:val="24"/>
        </w:rPr>
        <w:t>nfrastruktuur</w:t>
      </w:r>
      <w:r w:rsidR="00594EC8">
        <w:rPr>
          <w:sz w:val="24"/>
          <w:szCs w:val="24"/>
        </w:rPr>
        <w:t xml:space="preserve"> olla riikliku tähtsusega </w:t>
      </w:r>
      <w:r w:rsidR="0060562C">
        <w:rPr>
          <w:sz w:val="24"/>
          <w:szCs w:val="24"/>
        </w:rPr>
        <w:t>teadustaristu</w:t>
      </w:r>
      <w:r w:rsidR="00594EC8">
        <w:rPr>
          <w:sz w:val="24"/>
          <w:szCs w:val="24"/>
        </w:rPr>
        <w:t xml:space="preserve"> objekti osa, kuid toetuse andmise mõttes on tegemist eraldi</w:t>
      </w:r>
      <w:r w:rsidR="00F81983">
        <w:rPr>
          <w:sz w:val="24"/>
          <w:szCs w:val="24"/>
        </w:rPr>
        <w:t>seisvate</w:t>
      </w:r>
      <w:r w:rsidR="00594EC8">
        <w:rPr>
          <w:sz w:val="24"/>
          <w:szCs w:val="24"/>
        </w:rPr>
        <w:t xml:space="preserve"> projektidega, mille tegevusi ja tulemeid raporteeritakse eraldi. </w:t>
      </w:r>
    </w:p>
    <w:p w14:paraId="73FFAA69" w14:textId="6363937F" w:rsidR="001E2475" w:rsidRPr="000A24EE" w:rsidRDefault="00594EC8" w:rsidP="000A24EE">
      <w:pPr>
        <w:jc w:val="both"/>
        <w:rPr>
          <w:sz w:val="24"/>
          <w:szCs w:val="24"/>
        </w:rPr>
      </w:pPr>
      <w:r>
        <w:rPr>
          <w:sz w:val="24"/>
          <w:szCs w:val="24"/>
        </w:rPr>
        <w:t xml:space="preserve">Samuti ei saa riikliku tähtsusega teadustaristu </w:t>
      </w:r>
      <w:r w:rsidR="001E2475">
        <w:rPr>
          <w:sz w:val="24"/>
          <w:szCs w:val="24"/>
        </w:rPr>
        <w:t xml:space="preserve">kasutamise kulude katmist mõnest projektist näidata riikliku tähtsusega </w:t>
      </w:r>
      <w:r w:rsidR="00F81983">
        <w:rPr>
          <w:sz w:val="24"/>
          <w:szCs w:val="24"/>
        </w:rPr>
        <w:t>teadustaristu</w:t>
      </w:r>
      <w:r w:rsidR="001E2475">
        <w:rPr>
          <w:sz w:val="24"/>
          <w:szCs w:val="24"/>
        </w:rPr>
        <w:t xml:space="preserve"> projekti omapanusena</w:t>
      </w:r>
      <w:r w:rsidR="00624350">
        <w:rPr>
          <w:sz w:val="24"/>
          <w:szCs w:val="24"/>
        </w:rPr>
        <w:t>.</w:t>
      </w:r>
      <w:r w:rsidR="001E2475">
        <w:rPr>
          <w:sz w:val="24"/>
          <w:szCs w:val="24"/>
        </w:rPr>
        <w:t xml:space="preserve"> </w:t>
      </w:r>
      <w:r w:rsidR="00624350">
        <w:rPr>
          <w:sz w:val="24"/>
          <w:szCs w:val="24"/>
        </w:rPr>
        <w:t>K</w:t>
      </w:r>
      <w:r w:rsidR="001E2475">
        <w:rPr>
          <w:sz w:val="24"/>
          <w:szCs w:val="24"/>
        </w:rPr>
        <w:t xml:space="preserve">üll aga saab omapanusena näidata asutuse omatulu, mida </w:t>
      </w:r>
      <w:r w:rsidR="00F81983">
        <w:rPr>
          <w:sz w:val="24"/>
          <w:szCs w:val="24"/>
        </w:rPr>
        <w:t>taristu</w:t>
      </w:r>
      <w:r w:rsidR="001E2475">
        <w:rPr>
          <w:sz w:val="24"/>
          <w:szCs w:val="24"/>
        </w:rPr>
        <w:t xml:space="preserve"> teenuste pakkumisel teenitakse (või on kavas teenida).</w:t>
      </w:r>
      <w:r w:rsidR="0080241F">
        <w:rPr>
          <w:sz w:val="24"/>
          <w:szCs w:val="24"/>
        </w:rPr>
        <w:t xml:space="preserve"> </w:t>
      </w:r>
      <w:r w:rsidR="001E2475">
        <w:rPr>
          <w:sz w:val="24"/>
          <w:szCs w:val="24"/>
        </w:rPr>
        <w:t xml:space="preserve">Riikliku tähtsusega </w:t>
      </w:r>
      <w:r w:rsidR="00F81983">
        <w:rPr>
          <w:sz w:val="24"/>
          <w:szCs w:val="24"/>
        </w:rPr>
        <w:t>teadustaristu</w:t>
      </w:r>
      <w:r w:rsidR="001E2475">
        <w:rPr>
          <w:sz w:val="24"/>
          <w:szCs w:val="24"/>
        </w:rPr>
        <w:t xml:space="preserve"> taotlemisel tuleb taotluses näidata, milliste olemasolevate või planeeritavate projektidega on taristu seotud, kuid tegemist on taristu vajalikkuse põhjenduse</w:t>
      </w:r>
      <w:r w:rsidR="00B578CF">
        <w:rPr>
          <w:sz w:val="24"/>
          <w:szCs w:val="24"/>
        </w:rPr>
        <w:t>, mitte</w:t>
      </w:r>
      <w:r w:rsidR="001E2475">
        <w:rPr>
          <w:sz w:val="24"/>
          <w:szCs w:val="24"/>
        </w:rPr>
        <w:t xml:space="preserve"> </w:t>
      </w:r>
      <w:r w:rsidR="0080241F">
        <w:rPr>
          <w:sz w:val="24"/>
          <w:szCs w:val="24"/>
        </w:rPr>
        <w:t xml:space="preserve">tegevustoetuse </w:t>
      </w:r>
      <w:r w:rsidR="001E2475">
        <w:rPr>
          <w:sz w:val="24"/>
          <w:szCs w:val="24"/>
        </w:rPr>
        <w:t xml:space="preserve">omafinantseerimise allikate kirjeldusega. </w:t>
      </w:r>
    </w:p>
    <w:p w14:paraId="1F09DB55" w14:textId="77777777" w:rsidR="000A24EE" w:rsidRPr="000A24EE" w:rsidRDefault="000A24EE" w:rsidP="000A24EE">
      <w:pPr>
        <w:jc w:val="both"/>
        <w:rPr>
          <w:sz w:val="24"/>
          <w:szCs w:val="24"/>
        </w:rPr>
      </w:pPr>
    </w:p>
    <w:p w14:paraId="54F4FE04" w14:textId="191CF536" w:rsidR="00830C3C" w:rsidRPr="000A24EE" w:rsidRDefault="00830C3C" w:rsidP="000A24EE">
      <w:pPr>
        <w:jc w:val="both"/>
        <w:rPr>
          <w:sz w:val="24"/>
          <w:szCs w:val="24"/>
        </w:rPr>
      </w:pPr>
    </w:p>
    <w:sectPr w:rsidR="00830C3C" w:rsidRPr="000A2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6F2"/>
    <w:multiLevelType w:val="hybridMultilevel"/>
    <w:tmpl w:val="E578B8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B772809"/>
    <w:multiLevelType w:val="hybridMultilevel"/>
    <w:tmpl w:val="A40CDD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A7B3F39"/>
    <w:multiLevelType w:val="hybridMultilevel"/>
    <w:tmpl w:val="32B235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3473107">
    <w:abstractNumId w:val="1"/>
  </w:num>
  <w:num w:numId="2" w16cid:durableId="1607497552">
    <w:abstractNumId w:val="2"/>
  </w:num>
  <w:num w:numId="3" w16cid:durableId="210776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EE"/>
    <w:rsid w:val="0008483C"/>
    <w:rsid w:val="00095194"/>
    <w:rsid w:val="000A24EE"/>
    <w:rsid w:val="000B7240"/>
    <w:rsid w:val="00157E2C"/>
    <w:rsid w:val="001B18C0"/>
    <w:rsid w:val="001E2475"/>
    <w:rsid w:val="00275BFE"/>
    <w:rsid w:val="00276B24"/>
    <w:rsid w:val="002A50D1"/>
    <w:rsid w:val="00300C85"/>
    <w:rsid w:val="00330637"/>
    <w:rsid w:val="0039755F"/>
    <w:rsid w:val="003A6807"/>
    <w:rsid w:val="003B0EF3"/>
    <w:rsid w:val="00404807"/>
    <w:rsid w:val="00450C08"/>
    <w:rsid w:val="00581111"/>
    <w:rsid w:val="00594D90"/>
    <w:rsid w:val="00594EC8"/>
    <w:rsid w:val="005C043B"/>
    <w:rsid w:val="005E2187"/>
    <w:rsid w:val="0060562C"/>
    <w:rsid w:val="00624350"/>
    <w:rsid w:val="00682977"/>
    <w:rsid w:val="006F7C17"/>
    <w:rsid w:val="00784D3A"/>
    <w:rsid w:val="007A45BB"/>
    <w:rsid w:val="0080241F"/>
    <w:rsid w:val="00830C3C"/>
    <w:rsid w:val="00834CFD"/>
    <w:rsid w:val="008772A6"/>
    <w:rsid w:val="008816EF"/>
    <w:rsid w:val="008C7AFB"/>
    <w:rsid w:val="008F5428"/>
    <w:rsid w:val="009E4B71"/>
    <w:rsid w:val="00A61145"/>
    <w:rsid w:val="00A71077"/>
    <w:rsid w:val="00AA2140"/>
    <w:rsid w:val="00B06139"/>
    <w:rsid w:val="00B578CF"/>
    <w:rsid w:val="00EE7481"/>
    <w:rsid w:val="00F81983"/>
    <w:rsid w:val="00FC11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723E"/>
  <w15:chartTrackingRefBased/>
  <w15:docId w15:val="{3A649206-D06E-4009-930D-EFD893D8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A2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A2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A24E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A24E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A24E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A24E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A24E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A24E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A24E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A24E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A24E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A24E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A24E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A24E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A24E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A24E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A24E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A24E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A2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A24E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A24E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A24E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A24EE"/>
    <w:pPr>
      <w:spacing w:before="160"/>
      <w:jc w:val="center"/>
    </w:pPr>
    <w:rPr>
      <w:i/>
      <w:iCs/>
      <w:color w:val="404040" w:themeColor="text1" w:themeTint="BF"/>
    </w:rPr>
  </w:style>
  <w:style w:type="character" w:customStyle="1" w:styleId="TsitaatMrk">
    <w:name w:val="Tsitaat Märk"/>
    <w:basedOn w:val="Liguvaikefont"/>
    <w:link w:val="Tsitaat"/>
    <w:uiPriority w:val="29"/>
    <w:rsid w:val="000A24EE"/>
    <w:rPr>
      <w:i/>
      <w:iCs/>
      <w:color w:val="404040" w:themeColor="text1" w:themeTint="BF"/>
    </w:rPr>
  </w:style>
  <w:style w:type="paragraph" w:styleId="Loendilik">
    <w:name w:val="List Paragraph"/>
    <w:basedOn w:val="Normaallaad"/>
    <w:uiPriority w:val="34"/>
    <w:qFormat/>
    <w:rsid w:val="000A24EE"/>
    <w:pPr>
      <w:ind w:left="720"/>
      <w:contextualSpacing/>
    </w:pPr>
  </w:style>
  <w:style w:type="character" w:styleId="Selgeltmrgatavrhutus">
    <w:name w:val="Intense Emphasis"/>
    <w:basedOn w:val="Liguvaikefont"/>
    <w:uiPriority w:val="21"/>
    <w:qFormat/>
    <w:rsid w:val="000A24EE"/>
    <w:rPr>
      <w:i/>
      <w:iCs/>
      <w:color w:val="0F4761" w:themeColor="accent1" w:themeShade="BF"/>
    </w:rPr>
  </w:style>
  <w:style w:type="paragraph" w:styleId="Selgeltmrgatavtsitaat">
    <w:name w:val="Intense Quote"/>
    <w:basedOn w:val="Normaallaad"/>
    <w:next w:val="Normaallaad"/>
    <w:link w:val="SelgeltmrgatavtsitaatMrk"/>
    <w:uiPriority w:val="30"/>
    <w:qFormat/>
    <w:rsid w:val="000A2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A24EE"/>
    <w:rPr>
      <w:i/>
      <w:iCs/>
      <w:color w:val="0F4761" w:themeColor="accent1" w:themeShade="BF"/>
    </w:rPr>
  </w:style>
  <w:style w:type="character" w:styleId="Selgeltmrgatavviide">
    <w:name w:val="Intense Reference"/>
    <w:basedOn w:val="Liguvaikefont"/>
    <w:uiPriority w:val="32"/>
    <w:qFormat/>
    <w:rsid w:val="000A24EE"/>
    <w:rPr>
      <w:b/>
      <w:bCs/>
      <w:smallCaps/>
      <w:color w:val="0F4761" w:themeColor="accent1" w:themeShade="BF"/>
      <w:spacing w:val="5"/>
    </w:rPr>
  </w:style>
  <w:style w:type="character" w:styleId="Kommentaariviide">
    <w:name w:val="annotation reference"/>
    <w:basedOn w:val="Liguvaikefont"/>
    <w:uiPriority w:val="99"/>
    <w:semiHidden/>
    <w:unhideWhenUsed/>
    <w:rsid w:val="00FC11EF"/>
    <w:rPr>
      <w:sz w:val="16"/>
      <w:szCs w:val="16"/>
    </w:rPr>
  </w:style>
  <w:style w:type="paragraph" w:styleId="Kommentaaritekst">
    <w:name w:val="annotation text"/>
    <w:basedOn w:val="Normaallaad"/>
    <w:link w:val="KommentaaritekstMrk"/>
    <w:uiPriority w:val="99"/>
    <w:unhideWhenUsed/>
    <w:rsid w:val="00FC11EF"/>
    <w:pPr>
      <w:spacing w:line="240" w:lineRule="auto"/>
    </w:pPr>
    <w:rPr>
      <w:sz w:val="20"/>
      <w:szCs w:val="20"/>
    </w:rPr>
  </w:style>
  <w:style w:type="character" w:customStyle="1" w:styleId="KommentaaritekstMrk">
    <w:name w:val="Kommentaari tekst Märk"/>
    <w:basedOn w:val="Liguvaikefont"/>
    <w:link w:val="Kommentaaritekst"/>
    <w:uiPriority w:val="99"/>
    <w:rsid w:val="00FC11EF"/>
    <w:rPr>
      <w:sz w:val="20"/>
      <w:szCs w:val="20"/>
    </w:rPr>
  </w:style>
  <w:style w:type="paragraph" w:styleId="Kommentaariteema">
    <w:name w:val="annotation subject"/>
    <w:basedOn w:val="Kommentaaritekst"/>
    <w:next w:val="Kommentaaritekst"/>
    <w:link w:val="KommentaariteemaMrk"/>
    <w:uiPriority w:val="99"/>
    <w:semiHidden/>
    <w:unhideWhenUsed/>
    <w:rsid w:val="00FC11EF"/>
    <w:rPr>
      <w:b/>
      <w:bCs/>
    </w:rPr>
  </w:style>
  <w:style w:type="character" w:customStyle="1" w:styleId="KommentaariteemaMrk">
    <w:name w:val="Kommentaari teema Märk"/>
    <w:basedOn w:val="KommentaaritekstMrk"/>
    <w:link w:val="Kommentaariteema"/>
    <w:uiPriority w:val="99"/>
    <w:semiHidden/>
    <w:rsid w:val="00FC11EF"/>
    <w:rPr>
      <w:b/>
      <w:bCs/>
      <w:sz w:val="20"/>
      <w:szCs w:val="20"/>
    </w:rPr>
  </w:style>
  <w:style w:type="paragraph" w:styleId="Redaktsioon">
    <w:name w:val="Revision"/>
    <w:hidden/>
    <w:uiPriority w:val="99"/>
    <w:semiHidden/>
    <w:rsid w:val="00594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1110</Words>
  <Characters>6440</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Kirke Treial</dc:creator>
  <dc:description/>
  <cp:lastModifiedBy>Kairi Värv</cp:lastModifiedBy>
  <cp:revision>17</cp:revision>
  <dcterms:created xsi:type="dcterms:W3CDTF">2025-01-30T08:22:00Z</dcterms:created>
  <dcterms:modified xsi:type="dcterms:W3CDTF">2025-01-30T10:12:00Z</dcterms:modified>
  <dc:title>Lisa1. Uurimistoetuste ja tippkeskuste toetuse kasutamine omafinantseeringuna</dc:title>
</cp:coreProperties>
</file>