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9970" w14:textId="77777777" w:rsidR="00E66E44" w:rsidRPr="00C601C5" w:rsidRDefault="00EA35EF" w:rsidP="00147C58">
      <w:pPr>
        <w:spacing w:line="240" w:lineRule="auto"/>
        <w:jc w:val="center"/>
        <w:rPr>
          <w:rFonts w:cstheme="minorHAnsi"/>
          <w:b/>
          <w:bCs/>
          <w:sz w:val="24"/>
          <w:szCs w:val="24"/>
        </w:rPr>
      </w:pPr>
      <w:r w:rsidRPr="00C601C5">
        <w:rPr>
          <w:rFonts w:cstheme="minorHAnsi"/>
          <w:b/>
          <w:bCs/>
          <w:sz w:val="24"/>
          <w:szCs w:val="24"/>
        </w:rPr>
        <w:t>KLIIMA</w:t>
      </w:r>
      <w:r w:rsidR="006E7C3B" w:rsidRPr="00C601C5">
        <w:rPr>
          <w:rFonts w:cstheme="minorHAnsi"/>
          <w:b/>
          <w:bCs/>
          <w:sz w:val="24"/>
          <w:szCs w:val="24"/>
        </w:rPr>
        <w:t xml:space="preserve">MINISTEERIUMI </w:t>
      </w:r>
      <w:r w:rsidR="0021750E" w:rsidRPr="00C601C5">
        <w:rPr>
          <w:rFonts w:cstheme="minorHAnsi"/>
          <w:b/>
          <w:bCs/>
          <w:sz w:val="24"/>
          <w:szCs w:val="24"/>
        </w:rPr>
        <w:t>JA KESKKONNAAGENTUURI</w:t>
      </w:r>
      <w:r w:rsidR="00E66E44" w:rsidRPr="00C601C5">
        <w:rPr>
          <w:rFonts w:cstheme="minorHAnsi"/>
          <w:b/>
          <w:bCs/>
          <w:sz w:val="24"/>
          <w:szCs w:val="24"/>
        </w:rPr>
        <w:t xml:space="preserve"> </w:t>
      </w:r>
    </w:p>
    <w:p w14:paraId="53A8FF86" w14:textId="54D9A1DC" w:rsidR="00E66E44" w:rsidRPr="00C601C5" w:rsidRDefault="00E66E44" w:rsidP="00147C58">
      <w:pPr>
        <w:spacing w:line="240" w:lineRule="auto"/>
        <w:jc w:val="center"/>
        <w:rPr>
          <w:rFonts w:cstheme="minorHAnsi"/>
          <w:b/>
          <w:bCs/>
          <w:sz w:val="24"/>
          <w:szCs w:val="24"/>
        </w:rPr>
      </w:pPr>
      <w:r w:rsidRPr="00C601C5">
        <w:rPr>
          <w:rFonts w:cstheme="minorHAnsi"/>
          <w:b/>
          <w:bCs/>
          <w:sz w:val="24"/>
          <w:szCs w:val="24"/>
        </w:rPr>
        <w:t>projekti „Maa- ja mullakasutuse juhtimissüsteem mullastiku teenuste efektiivseks ja jätkusuutlikuks kasutamiseks, elurikkuse kaitseks ja kliimamõju vähendamiseks. Uurimisprogramm“</w:t>
      </w:r>
    </w:p>
    <w:p w14:paraId="564AE440" w14:textId="6D7C7213" w:rsidR="00E66E44" w:rsidRPr="00C601C5" w:rsidRDefault="006E7C3B" w:rsidP="00147C58">
      <w:pPr>
        <w:spacing w:line="240" w:lineRule="auto"/>
        <w:jc w:val="center"/>
        <w:rPr>
          <w:rFonts w:cstheme="minorHAnsi"/>
          <w:b/>
          <w:bCs/>
          <w:i/>
          <w:sz w:val="24"/>
          <w:szCs w:val="24"/>
        </w:rPr>
      </w:pPr>
      <w:r w:rsidRPr="00C601C5">
        <w:rPr>
          <w:rFonts w:cstheme="minorHAnsi"/>
          <w:b/>
          <w:bCs/>
          <w:sz w:val="24"/>
          <w:szCs w:val="24"/>
        </w:rPr>
        <w:t>TA VOORU</w:t>
      </w:r>
      <w:r w:rsidR="00E66E44" w:rsidRPr="00C601C5">
        <w:rPr>
          <w:rFonts w:cstheme="minorHAnsi"/>
          <w:b/>
          <w:bCs/>
          <w:sz w:val="24"/>
          <w:szCs w:val="24"/>
        </w:rPr>
        <w:t xml:space="preserve"> </w:t>
      </w:r>
      <w:r w:rsidR="00E66E44" w:rsidRPr="00C601C5">
        <w:rPr>
          <w:rStyle w:val="Vaevumrgatavrhutus"/>
          <w:rFonts w:cstheme="minorHAnsi"/>
          <w:b/>
          <w:i w:val="0"/>
          <w:iCs w:val="0"/>
          <w:sz w:val="28"/>
          <w:szCs w:val="28"/>
        </w:rPr>
        <w:t>„</w:t>
      </w:r>
      <w:r w:rsidR="00FA0696" w:rsidRPr="00FA0696">
        <w:rPr>
          <w:rFonts w:cstheme="minorHAnsi"/>
          <w:b/>
          <w:color w:val="404040" w:themeColor="text1" w:themeTint="BF"/>
          <w:sz w:val="28"/>
          <w:szCs w:val="28"/>
        </w:rPr>
        <w:t>LULUCF sektori metsamaa mineraal- ja turvasmuldade KHG voogude ja süsinikuvaru dünaamika täpsem hindamine riiklikus KHG inventuuris</w:t>
      </w:r>
      <w:r w:rsidR="00E66E44" w:rsidRPr="00C601C5">
        <w:rPr>
          <w:rStyle w:val="Vaevumrgatavrhutus"/>
          <w:rFonts w:cstheme="minorHAnsi"/>
          <w:b/>
          <w:i w:val="0"/>
          <w:iCs w:val="0"/>
          <w:sz w:val="28"/>
          <w:szCs w:val="28"/>
        </w:rPr>
        <w:t>“</w:t>
      </w:r>
      <w:r w:rsidRPr="00C601C5">
        <w:rPr>
          <w:rFonts w:cstheme="minorHAnsi"/>
          <w:b/>
          <w:bCs/>
          <w:i/>
          <w:sz w:val="24"/>
          <w:szCs w:val="24"/>
        </w:rPr>
        <w:t xml:space="preserve"> </w:t>
      </w:r>
    </w:p>
    <w:p w14:paraId="75867A1F" w14:textId="73BA89F1" w:rsidR="00F50EE5" w:rsidRPr="00A80F09" w:rsidRDefault="006E7C3B" w:rsidP="00147C58">
      <w:pPr>
        <w:spacing w:line="240" w:lineRule="auto"/>
        <w:jc w:val="center"/>
        <w:rPr>
          <w:rFonts w:cstheme="minorHAnsi"/>
          <w:b/>
          <w:bCs/>
          <w:sz w:val="28"/>
          <w:szCs w:val="28"/>
        </w:rPr>
      </w:pPr>
      <w:r w:rsidRPr="00A80F09">
        <w:rPr>
          <w:rFonts w:cstheme="minorHAnsi"/>
          <w:b/>
          <w:bCs/>
          <w:sz w:val="28"/>
          <w:szCs w:val="28"/>
        </w:rPr>
        <w:t>LÄHTEÜLESANDE VORM</w:t>
      </w:r>
    </w:p>
    <w:p w14:paraId="24906003" w14:textId="77777777" w:rsidR="00A80FB2" w:rsidRPr="003B77EC" w:rsidRDefault="00A80FB2" w:rsidP="00147C58">
      <w:pPr>
        <w:spacing w:line="240" w:lineRule="auto"/>
        <w:jc w:val="center"/>
        <w:rPr>
          <w:rFonts w:ascii="Times New Roman" w:hAnsi="Times New Roman" w:cs="Times New Roman"/>
          <w:b/>
          <w:caps/>
          <w:sz w:val="24"/>
          <w:szCs w:val="24"/>
        </w:rPr>
      </w:pPr>
    </w:p>
    <w:tbl>
      <w:tblPr>
        <w:tblStyle w:val="Kontuurtabel"/>
        <w:tblW w:w="0" w:type="auto"/>
        <w:tblLook w:val="04A0" w:firstRow="1" w:lastRow="0" w:firstColumn="1" w:lastColumn="0" w:noHBand="0" w:noVBand="1"/>
      </w:tblPr>
      <w:tblGrid>
        <w:gridCol w:w="9062"/>
      </w:tblGrid>
      <w:tr w:rsidR="00877916" w:rsidRPr="003B77EC" w14:paraId="36AD2664" w14:textId="77777777" w:rsidTr="002E62AA">
        <w:tc>
          <w:tcPr>
            <w:tcW w:w="9062" w:type="dxa"/>
            <w:shd w:val="clear" w:color="auto" w:fill="D9D9D9" w:themeFill="background1" w:themeFillShade="D9"/>
          </w:tcPr>
          <w:p w14:paraId="4791927A" w14:textId="5A28C760" w:rsidR="00877916" w:rsidRPr="003B77EC" w:rsidRDefault="00205038" w:rsidP="00D22D2D">
            <w:pPr>
              <w:rPr>
                <w:rFonts w:ascii="Times New Roman" w:hAnsi="Times New Roman" w:cs="Times New Roman"/>
                <w:b/>
                <w:sz w:val="24"/>
                <w:szCs w:val="24"/>
              </w:rPr>
            </w:pPr>
            <w:r w:rsidRPr="003B77EC">
              <w:rPr>
                <w:rFonts w:ascii="Times New Roman" w:hAnsi="Times New Roman" w:cs="Times New Roman"/>
                <w:b/>
                <w:sz w:val="24"/>
                <w:szCs w:val="24"/>
              </w:rPr>
              <w:t>Uurimisteema</w:t>
            </w:r>
          </w:p>
        </w:tc>
      </w:tr>
      <w:tr w:rsidR="00877916" w:rsidRPr="003B77EC" w14:paraId="4EACDC5B" w14:textId="77777777" w:rsidTr="002E62AA">
        <w:tc>
          <w:tcPr>
            <w:tcW w:w="9062" w:type="dxa"/>
          </w:tcPr>
          <w:p w14:paraId="4E37D32A" w14:textId="30DFCA5B" w:rsidR="00877916" w:rsidRPr="001A06B9" w:rsidRDefault="00023556" w:rsidP="00EA35EF">
            <w:pPr>
              <w:pStyle w:val="Pealkiri1"/>
              <w:jc w:val="both"/>
              <w:rPr>
                <w:rFonts w:asciiTheme="minorHAnsi" w:hAnsiTheme="minorHAnsi" w:cstheme="minorHAnsi"/>
                <w:szCs w:val="24"/>
                <w:lang w:val="et-EE"/>
              </w:rPr>
            </w:pPr>
            <w:bookmarkStart w:id="0" w:name="_Hlk185601948"/>
            <w:r w:rsidRPr="001A06B9">
              <w:rPr>
                <w:rFonts w:asciiTheme="minorHAnsi" w:hAnsiTheme="minorHAnsi" w:cstheme="minorHAnsi"/>
                <w:szCs w:val="24"/>
                <w:lang w:val="et-EE"/>
              </w:rPr>
              <w:t xml:space="preserve">LULUCF sektori metsamaa kategooria </w:t>
            </w:r>
            <w:r w:rsidR="00FA0696" w:rsidRPr="001A06B9">
              <w:rPr>
                <w:rFonts w:asciiTheme="minorHAnsi" w:hAnsiTheme="minorHAnsi" w:cstheme="minorHAnsi"/>
                <w:szCs w:val="24"/>
                <w:lang w:val="et-EE"/>
              </w:rPr>
              <w:t>mineraal- ja turvasmuldade KHG voogude ja süsinikuvaru dünaamika täpsem hindamine riiklikus KHG inventuuris</w:t>
            </w:r>
            <w:bookmarkEnd w:id="0"/>
          </w:p>
        </w:tc>
      </w:tr>
      <w:tr w:rsidR="00205038" w:rsidRPr="003B77EC" w14:paraId="418A2201" w14:textId="77777777" w:rsidTr="002E62AA">
        <w:tc>
          <w:tcPr>
            <w:tcW w:w="9062" w:type="dxa"/>
            <w:shd w:val="pct15" w:color="auto" w:fill="auto"/>
          </w:tcPr>
          <w:p w14:paraId="284A32C3" w14:textId="70BA6DC0" w:rsidR="00205038" w:rsidRPr="003B77EC" w:rsidRDefault="00205038" w:rsidP="00205038">
            <w:pPr>
              <w:tabs>
                <w:tab w:val="left" w:pos="6686"/>
              </w:tabs>
              <w:rPr>
                <w:rFonts w:ascii="Times New Roman" w:hAnsi="Times New Roman" w:cs="Times New Roman"/>
                <w:b/>
                <w:sz w:val="24"/>
                <w:szCs w:val="24"/>
              </w:rPr>
            </w:pPr>
            <w:r w:rsidRPr="003B77EC">
              <w:rPr>
                <w:rFonts w:ascii="Times New Roman" w:hAnsi="Times New Roman" w:cs="Times New Roman"/>
                <w:b/>
                <w:sz w:val="24"/>
                <w:szCs w:val="24"/>
              </w:rPr>
              <w:t>Lahendatavad probleemid</w:t>
            </w:r>
          </w:p>
        </w:tc>
      </w:tr>
      <w:tr w:rsidR="00205038" w:rsidRPr="003B77EC" w14:paraId="3B3B494A" w14:textId="77777777" w:rsidTr="002E62AA">
        <w:tc>
          <w:tcPr>
            <w:tcW w:w="9062" w:type="dxa"/>
            <w:tcBorders>
              <w:bottom w:val="single" w:sz="4" w:space="0" w:color="auto"/>
            </w:tcBorders>
          </w:tcPr>
          <w:p w14:paraId="67C5A2BA" w14:textId="77777777" w:rsidR="008B1790" w:rsidRDefault="008B1790" w:rsidP="000C5500">
            <w:pPr>
              <w:jc w:val="both"/>
              <w:rPr>
                <w:b/>
                <w:bCs/>
              </w:rPr>
            </w:pPr>
          </w:p>
          <w:p w14:paraId="18D975ED" w14:textId="69CF9591" w:rsidR="008B1790" w:rsidRDefault="008B1790" w:rsidP="000C5500">
            <w:pPr>
              <w:jc w:val="both"/>
            </w:pPr>
            <w:r w:rsidRPr="008B1790">
              <w:rPr>
                <w:b/>
                <w:bCs/>
              </w:rPr>
              <w:t>Lahendatav probleem</w:t>
            </w:r>
            <w:r>
              <w:t>: Tulenevalt EL-i roheleppest ja selle raames jõustunud või ka veel läbi</w:t>
            </w:r>
            <w:r>
              <w:softHyphen/>
              <w:t>rääkimistel olevatest erinevatest regulatsioonidest (LULUCF määrus</w:t>
            </w:r>
            <w:r w:rsidR="00EC4824">
              <w:rPr>
                <w:rStyle w:val="Allmrkuseviide"/>
              </w:rPr>
              <w:footnoteReference w:id="2"/>
            </w:r>
            <w:r>
              <w:t>, energialiidu ja kliima</w:t>
            </w:r>
            <w:r w:rsidR="00EC4824">
              <w:softHyphen/>
            </w:r>
            <w:r>
              <w:t>meetmete juhtimis</w:t>
            </w:r>
            <w:r>
              <w:softHyphen/>
              <w:t>määrus</w:t>
            </w:r>
            <w:r w:rsidR="00EC4824">
              <w:rPr>
                <w:rStyle w:val="Allmrkuseviide"/>
              </w:rPr>
              <w:footnoteReference w:id="3"/>
            </w:r>
            <w:r>
              <w:t>, metsa</w:t>
            </w:r>
            <w:r>
              <w:softHyphen/>
              <w:t>seire määrus</w:t>
            </w:r>
            <w:r w:rsidR="00EC4824">
              <w:rPr>
                <w:rStyle w:val="Allmrkuseviide"/>
              </w:rPr>
              <w:footnoteReference w:id="4"/>
            </w:r>
            <w:r>
              <w:t>, looduse taastamise määrus</w:t>
            </w:r>
            <w:r w:rsidR="00EC4824">
              <w:rPr>
                <w:rStyle w:val="Allmrkuseviide"/>
              </w:rPr>
              <w:footnoteReference w:id="5"/>
            </w:r>
            <w:r>
              <w:t>, mullaseire direktiiv</w:t>
            </w:r>
            <w:r w:rsidR="00EC4824">
              <w:rPr>
                <w:rStyle w:val="Allmrkuseviide"/>
              </w:rPr>
              <w:footnoteReference w:id="6"/>
            </w:r>
            <w:r>
              <w:t xml:space="preserve"> jne) on LULUCF</w:t>
            </w:r>
            <w:r>
              <w:rPr>
                <w:rStyle w:val="Allmrkuseviide"/>
              </w:rPr>
              <w:footnoteReference w:id="7"/>
            </w:r>
            <w:r>
              <w:t xml:space="preserve"> sektoris lisandumas täiendavaid kasvuhoonegaaside (KHG) seire ja aruandluse nõudeid (üleminek Tier </w:t>
            </w:r>
            <w:r w:rsidR="00F855E9">
              <w:t xml:space="preserve">2 ja Tier </w:t>
            </w:r>
            <w:r>
              <w:t>3 metoodikate kasutamisele). Nende nõuete täitmine on eelduseks, et riik saaks kasutada erinevaid paindlikkus- ja kompensatsiooni</w:t>
            </w:r>
            <w:r>
              <w:softHyphen/>
              <w:t xml:space="preserve">meetmeid LULUCF sektori </w:t>
            </w:r>
            <w:r w:rsidR="001C5564">
              <w:t>kliima</w:t>
            </w:r>
            <w:r w:rsidR="00F855E9">
              <w:softHyphen/>
            </w:r>
            <w:r>
              <w:t xml:space="preserve">eesmärkide täitmisel ja seeläbi vältida või vähendada eesmärkide mittetäitmisest tulenevate trahvide maksmist. </w:t>
            </w:r>
            <w:r w:rsidRPr="00984E06">
              <w:t xml:space="preserve">Eesti </w:t>
            </w:r>
            <w:r>
              <w:t>metsamaa</w:t>
            </w:r>
            <w:r w:rsidRPr="00984E06">
              <w:t xml:space="preserve"> kategoorias on võtme</w:t>
            </w:r>
            <w:r>
              <w:softHyphen/>
            </w:r>
            <w:r w:rsidRPr="00984E06">
              <w:t>kategooriateks nii mineraal- kui turvas</w:t>
            </w:r>
            <w:r>
              <w:softHyphen/>
            </w:r>
            <w:r w:rsidRPr="00984E06">
              <w:t xml:space="preserve">mullad, kus on </w:t>
            </w:r>
            <w:r w:rsidR="001C5564">
              <w:t>praegu</w:t>
            </w:r>
            <w:r>
              <w:t xml:space="preserve"> </w:t>
            </w:r>
            <w:r w:rsidRPr="00984E06">
              <w:t xml:space="preserve">kasutusel vastavalt </w:t>
            </w:r>
            <w:r>
              <w:t xml:space="preserve">madalama määramistasandiga </w:t>
            </w:r>
            <w:r w:rsidRPr="00984E06">
              <w:t>Tier 2</w:t>
            </w:r>
            <w:r>
              <w:t xml:space="preserve"> (mineraalmullad)</w:t>
            </w:r>
            <w:r w:rsidRPr="00984E06">
              <w:t xml:space="preserve"> ja Tier 1</w:t>
            </w:r>
            <w:r>
              <w:t xml:space="preserve"> (turvas</w:t>
            </w:r>
            <w:r>
              <w:softHyphen/>
              <w:t xml:space="preserve">mullad) </w:t>
            </w:r>
            <w:r w:rsidRPr="00984E06">
              <w:t>metoodikad KHG voogude hindamiseks.</w:t>
            </w:r>
            <w:r>
              <w:t xml:space="preserve"> </w:t>
            </w:r>
            <w:r w:rsidRPr="007A5EAC">
              <w:rPr>
                <w:b/>
                <w:bCs/>
              </w:rPr>
              <w:t xml:space="preserve">Eestil </w:t>
            </w:r>
            <w:r>
              <w:rPr>
                <w:b/>
                <w:bCs/>
              </w:rPr>
              <w:t xml:space="preserve">on hiljemalt 2030. aastaks vaja </w:t>
            </w:r>
            <w:r w:rsidRPr="007A5EAC">
              <w:rPr>
                <w:b/>
                <w:bCs/>
              </w:rPr>
              <w:t>välja töötada ja</w:t>
            </w:r>
            <w:r>
              <w:rPr>
                <w:b/>
                <w:bCs/>
              </w:rPr>
              <w:t xml:space="preserve"> KHG inventuuri LULUCF sektoris</w:t>
            </w:r>
            <w:r w:rsidRPr="007A5EAC">
              <w:rPr>
                <w:b/>
                <w:bCs/>
              </w:rPr>
              <w:t xml:space="preserve"> kasutusele võtta Tier 3 metoodika </w:t>
            </w:r>
            <w:r>
              <w:rPr>
                <w:b/>
                <w:bCs/>
              </w:rPr>
              <w:t xml:space="preserve">KHG voogude ja süsinikuvaru muutuste hindamiseks metsamaa </w:t>
            </w:r>
            <w:r w:rsidRPr="007A5EAC">
              <w:rPr>
                <w:b/>
                <w:bCs/>
              </w:rPr>
              <w:t>mineraal- ja turvas</w:t>
            </w:r>
            <w:r w:rsidRPr="007A5EAC">
              <w:rPr>
                <w:b/>
                <w:bCs/>
              </w:rPr>
              <w:softHyphen/>
              <w:t xml:space="preserve">muldade </w:t>
            </w:r>
            <w:r>
              <w:rPr>
                <w:b/>
                <w:bCs/>
              </w:rPr>
              <w:t>osas</w:t>
            </w:r>
            <w:r>
              <w:t>.</w:t>
            </w:r>
          </w:p>
          <w:p w14:paraId="07B21E2A" w14:textId="77777777" w:rsidR="008B1790" w:rsidRDefault="008B1790" w:rsidP="000C5500">
            <w:pPr>
              <w:jc w:val="both"/>
            </w:pPr>
          </w:p>
          <w:p w14:paraId="33AFCF79" w14:textId="7A7CCE4E" w:rsidR="008B1790" w:rsidRPr="00DA6B75" w:rsidRDefault="008B1790" w:rsidP="008B1790">
            <w:pPr>
              <w:jc w:val="both"/>
              <w:rPr>
                <w:b/>
                <w:bCs/>
              </w:rPr>
            </w:pPr>
            <w:r w:rsidRPr="008B1790">
              <w:rPr>
                <w:b/>
                <w:bCs/>
              </w:rPr>
              <w:t>Taustainfo</w:t>
            </w:r>
            <w:r w:rsidR="000B0CCD">
              <w:rPr>
                <w:b/>
                <w:bCs/>
              </w:rPr>
              <w:t xml:space="preserve"> KHG inventuuri ja metsamaa kategooria kohta</w:t>
            </w:r>
            <w:r>
              <w:t xml:space="preserve">: </w:t>
            </w:r>
            <w:r w:rsidRPr="00FD773E">
              <w:t xml:space="preserve">LULUCF sektori KHG arvutuste aluseks olevate algandmete põhisisendiks on </w:t>
            </w:r>
            <w:r>
              <w:t xml:space="preserve">statistiline metsainventuur (SMI). </w:t>
            </w:r>
            <w:r w:rsidRPr="00FD773E">
              <w:t>Maakasutusega seotud KHG heitkoguste arvutamiseks vajalikud algandmed saadakse lisaks SMI-le riiklikust statistikast, mida koguvad ja haldavad Statistikaamet, Põllu</w:t>
            </w:r>
            <w:r>
              <w:softHyphen/>
            </w:r>
            <w:r w:rsidRPr="00FD773E">
              <w:t xml:space="preserve">majanduse Registrite ja Informatsiooni Amet (PRIA), </w:t>
            </w:r>
            <w:r>
              <w:t>Keskkonnaagentuur (KAUR)</w:t>
            </w:r>
            <w:r w:rsidRPr="00FD773E">
              <w:t>, Maaelu Teadmus</w:t>
            </w:r>
            <w:r>
              <w:softHyphen/>
            </w:r>
            <w:r w:rsidRPr="00FD773E">
              <w:t xml:space="preserve">keskus (METK), Päästeamet, Maa-amet, Eesti Metsa- ja Puidutööstuse Liit (EMPL). </w:t>
            </w:r>
            <w:r w:rsidRPr="00DA6B75">
              <w:rPr>
                <w:b/>
                <w:bCs/>
              </w:rPr>
              <w:t>KHG inventuuri algandmete ja KHG heitkoguste arvutuse korral on oluline, millise täpsuse, ulatuse ja määramis</w:t>
            </w:r>
            <w:r w:rsidRPr="00DA6B75">
              <w:rPr>
                <w:b/>
                <w:bCs/>
              </w:rPr>
              <w:softHyphen/>
              <w:t>tasandiga andmeid kasutatakse</w:t>
            </w:r>
            <w:r w:rsidRPr="00FD773E">
              <w:t xml:space="preserve">. </w:t>
            </w:r>
            <w:r>
              <w:t>IPCC</w:t>
            </w:r>
            <w:r w:rsidR="00EC4824">
              <w:rPr>
                <w:rStyle w:val="Allmrkuseviide"/>
                <w:rFonts w:cstheme="minorHAnsi"/>
              </w:rPr>
              <w:footnoteReference w:id="8"/>
            </w:r>
            <w:r>
              <w:t xml:space="preserve"> 2006. aasta suuniste järgi on võimalik kasutada</w:t>
            </w:r>
            <w:r w:rsidRPr="00FD773E">
              <w:t xml:space="preserve"> </w:t>
            </w:r>
            <w:r>
              <w:t>kolme</w:t>
            </w:r>
            <w:r w:rsidRPr="00FD773E">
              <w:t xml:space="preserve"> erinevat lähenemist (Approach 1, 2, 3) ja määramis</w:t>
            </w:r>
            <w:r>
              <w:softHyphen/>
            </w:r>
            <w:r w:rsidRPr="00FD773E">
              <w:t>tasandit (Tier 1, 2, 3). Paremat geograafilist katvust ja esindatust maakasutuse pindalades väljendab lähenemise tase: Approach 1 põhineb riiklikul statistikal maakasutuse ja vastavate pindalade kohta, Approach 2 sisaldab endas lisaks riiklikule statistikale ka maakasutuste muutusi kajastavat maatriksit ning Approach 3 hõlmab geograafiliselt täpse</w:t>
            </w:r>
            <w:r>
              <w:t>i</w:t>
            </w:r>
            <w:r w:rsidRPr="00FD773E">
              <w:t>d asukohapõhise</w:t>
            </w:r>
            <w:r>
              <w:t>i</w:t>
            </w:r>
            <w:r w:rsidRPr="00FD773E">
              <w:t>d andme</w:t>
            </w:r>
            <w:r>
              <w:t>i</w:t>
            </w:r>
            <w:r w:rsidRPr="00FD773E">
              <w:t>d maa</w:t>
            </w:r>
            <w:r w:rsidR="003E5652">
              <w:softHyphen/>
            </w:r>
            <w:r w:rsidRPr="00FD773E">
              <w:t xml:space="preserve">kasutuse ja nende muutuste ning vastava aegrea kohta. </w:t>
            </w:r>
            <w:r w:rsidRPr="00DA6B75">
              <w:rPr>
                <w:b/>
                <w:bCs/>
              </w:rPr>
              <w:t xml:space="preserve">Eesti KHG inventuuris on juba kasutusel Approach 3, </w:t>
            </w:r>
            <w:r w:rsidRPr="00DA6B75">
              <w:rPr>
                <w:b/>
                <w:bCs/>
              </w:rPr>
              <w:lastRenderedPageBreak/>
              <w:t>järgnevate aastate arenduste eesmärk on üha enam võtta kasutusele olemasolevaid andme</w:t>
            </w:r>
            <w:r w:rsidR="00F855E9">
              <w:rPr>
                <w:b/>
                <w:bCs/>
              </w:rPr>
              <w:softHyphen/>
            </w:r>
            <w:r w:rsidRPr="00DA6B75">
              <w:rPr>
                <w:b/>
                <w:bCs/>
              </w:rPr>
              <w:t>kogusid ja ruumiandmeid ning arendada edasi kaugseirel põhinevaid meetodeid.</w:t>
            </w:r>
            <w:r>
              <w:t xml:space="preserve"> Märkimis</w:t>
            </w:r>
            <w:r>
              <w:softHyphen/>
              <w:t>väärne mõju saab olema käimasoleval Eesti mullastikukaardi uuendamise (MULD2) projektil, kuna see võib oluliselt muuta senist arusaama turvas</w:t>
            </w:r>
            <w:r>
              <w:softHyphen/>
              <w:t>muldade leviku ja ulatuse kohta. M</w:t>
            </w:r>
            <w:r w:rsidRPr="00FD773E">
              <w:t xml:space="preserve">aakategooriate KHG heite arvutamisel on lisaks täpsemale pindalade määramisele oluline kasutada </w:t>
            </w:r>
            <w:r>
              <w:t xml:space="preserve">ka </w:t>
            </w:r>
            <w:r w:rsidRPr="00FD773E">
              <w:t>võimalikult täpset ja kõrge</w:t>
            </w:r>
            <w:r>
              <w:t>i</w:t>
            </w:r>
            <w:r w:rsidRPr="00FD773E">
              <w:t>ma määramistasandiga eriheitetegurit</w:t>
            </w:r>
            <w:r>
              <w:t xml:space="preserve"> või mudelit</w:t>
            </w:r>
            <w:r w:rsidRPr="00FD773E">
              <w:t>. Tier 1 korral kasutatakse KHG heite arvutamiseks IPCC vaikeväärtusi, Tier 2 korral on välja töötatud riigi</w:t>
            </w:r>
            <w:r w:rsidRPr="00FD773E">
              <w:softHyphen/>
              <w:t>põhised eriheitetegurid, sh võivad need tugineda ka teistes riikides läbiviidud uuringutele ja mõõtmisele, ning kõige kõrgema määramis</w:t>
            </w:r>
            <w:r w:rsidR="003E5652">
              <w:softHyphen/>
            </w:r>
            <w:r w:rsidRPr="00FD773E">
              <w:t xml:space="preserve">tasandi Tier 3 </w:t>
            </w:r>
            <w:r>
              <w:t xml:space="preserve">metoodika </w:t>
            </w:r>
            <w:r w:rsidRPr="00FD773E">
              <w:t>korral saadakse andmed kas otsemõõtmistest või mudelitest</w:t>
            </w:r>
            <w:r>
              <w:t xml:space="preserve">. </w:t>
            </w:r>
            <w:r w:rsidRPr="00DA6B75">
              <w:rPr>
                <w:b/>
                <w:bCs/>
              </w:rPr>
              <w:t xml:space="preserve">Riigil on kohustus KHG inventuuri ja selle kvaliteeti pidevalt parendada, </w:t>
            </w:r>
            <w:r w:rsidRPr="00FD773E">
              <w:t xml:space="preserve">sh </w:t>
            </w:r>
            <w:r w:rsidRPr="00DA6B75">
              <w:rPr>
                <w:b/>
                <w:bCs/>
              </w:rPr>
              <w:t>täiustada algandmete allikaid, kasutatavaid metoodikaid ning liikuda järjest kõrgematele määramistasanditele ja geograafiliselt täpsematele ja täielikumatele andmetele</w:t>
            </w:r>
            <w:r w:rsidRPr="00FD773E">
              <w:t>. Eelkõige julgustatakse seda tegema KHG inventuuri võtmekategooriates</w:t>
            </w:r>
            <w:r>
              <w:t>. Lähtudes jõustunud LULUCF määrusest ning energialiidu ja kliima</w:t>
            </w:r>
            <w:r w:rsidR="003E5652">
              <w:softHyphen/>
            </w:r>
            <w:r>
              <w:t>meetmete juhtimis</w:t>
            </w:r>
            <w:r>
              <w:softHyphen/>
              <w:t>määrusest võib aja</w:t>
            </w:r>
            <w:r>
              <w:softHyphen/>
              <w:t>vahemikul 2021–2025 kasutada LULUCF sektoris Tier 1 metoodikaid kooskõlas IPCC 2006. aasta suunistega, v.a selliste süsiniku talletajate osas, mille arvele langeb vähemalt 25% heitest või sidumisest kategoorias, mis on riigi poolt prioriteetseks määratud. Nende prioriteetsete heite</w:t>
            </w:r>
            <w:r>
              <w:softHyphen/>
              <w:t xml:space="preserve">kategooriate osas tuleb liikuda kõrgemale määramistasandile ja esimesel võimalusel võtta kasutusele Tier 2 metoodika. </w:t>
            </w:r>
            <w:r w:rsidRPr="00DA6B75">
              <w:rPr>
                <w:b/>
                <w:bCs/>
              </w:rPr>
              <w:t>Alates 2028. aastast (s.t 2026. aasta andmetega KHG inventuuri) tuleb kasutada KHG inventuuri koostamisel LULUCF sektoris kõikides kategooriates vähemalt Tier 2 metoodikaid kooskõlas IPCC 2006. aasta suunistega</w:t>
            </w:r>
            <w:r>
              <w:t xml:space="preserve">. </w:t>
            </w:r>
            <w:r w:rsidRPr="00DA6B75">
              <w:rPr>
                <w:b/>
                <w:bCs/>
              </w:rPr>
              <w:t>Seejuures tuleb võimalikult varakult ja hiljemalt 2030. aastaks üle minna Tier 3 metoodikale</w:t>
            </w:r>
            <w:r>
              <w:t xml:space="preserve"> järgmiste maa-alade korral: märgalad, </w:t>
            </w:r>
            <w:r w:rsidRPr="00DA6B75">
              <w:rPr>
                <w:b/>
                <w:bCs/>
              </w:rPr>
              <w:t>metsad,</w:t>
            </w:r>
            <w:r>
              <w:t xml:space="preserve"> taastamist vajavad ja taastamisel olevad alad, kõrge kliimariskiga alad (üleujutus</w:t>
            </w:r>
            <w:r>
              <w:softHyphen/>
              <w:t>ohuriskiga alad, sh asulad) ning loodus- ja linnudirektiivist ning vee</w:t>
            </w:r>
            <w:r>
              <w:softHyphen/>
              <w:t>raam</w:t>
            </w:r>
            <w:r>
              <w:softHyphen/>
              <w:t xml:space="preserve">direktiivist tulenevad kaitsealad. </w:t>
            </w:r>
            <w:r w:rsidRPr="00DA6B75">
              <w:rPr>
                <w:b/>
                <w:bCs/>
              </w:rPr>
              <w:t>Eesti metsa</w:t>
            </w:r>
            <w:r w:rsidRPr="00DA6B75">
              <w:rPr>
                <w:b/>
                <w:bCs/>
              </w:rPr>
              <w:softHyphen/>
              <w:t>maa kategoorias on võtmekategooriateks nii mineraal- kui turvas</w:t>
            </w:r>
            <w:r w:rsidRPr="00DA6B75">
              <w:rPr>
                <w:b/>
                <w:bCs/>
              </w:rPr>
              <w:softHyphen/>
              <w:t>mullad, kus on kasutusel vastavalt Tier 2 ja Tier 1 metoodikad KHG voogude hindamiseks.</w:t>
            </w:r>
          </w:p>
          <w:p w14:paraId="5162E5F3" w14:textId="77777777" w:rsidR="008B1790" w:rsidRDefault="008B1790" w:rsidP="000C5500">
            <w:pPr>
              <w:jc w:val="both"/>
            </w:pPr>
          </w:p>
          <w:p w14:paraId="2B5402D6" w14:textId="74B37B43" w:rsidR="00F03643" w:rsidRPr="008B1790" w:rsidRDefault="00E041A0" w:rsidP="000C5500">
            <w:pPr>
              <w:jc w:val="both"/>
            </w:pPr>
            <w:r>
              <w:t xml:space="preserve">Eesti KHG inventuuris kajastatava LULUCF sektori peamine süsiniku siduja on metsamaa, mille pindala 2022. aastal oli </w:t>
            </w:r>
            <w:r w:rsidR="003E5652">
              <w:t>SMI</w:t>
            </w:r>
            <w:r>
              <w:t xml:space="preserve"> järgi 2 446,75 kha (s.o enam kui 50% Eesti pindalast). Metsamaa</w:t>
            </w:r>
            <w:r w:rsidR="000B0CCD">
              <w:rPr>
                <w:rStyle w:val="Allmrkuseviide"/>
              </w:rPr>
              <w:footnoteReference w:id="9"/>
            </w:r>
            <w:r>
              <w:t xml:space="preserve"> pindala on kasvanud eelkõige põllu</w:t>
            </w:r>
            <w:r>
              <w:softHyphen/>
              <w:t>majanduslike (põllumaa, rohumaa) maade arvelt tulenevalt nende kasutusest välja jäämisest ja metsastumisest. Metsamaa kategooria KHG netoheide 2022. aastal oli -1</w:t>
            </w:r>
            <w:r w:rsidR="00CC7AEF">
              <w:t> </w:t>
            </w:r>
            <w:r>
              <w:t>359</w:t>
            </w:r>
            <w:r w:rsidR="00CC7AEF">
              <w:t>,</w:t>
            </w:r>
            <w:r>
              <w:t xml:space="preserve">93 kt CO2 ekv (negatiivne </w:t>
            </w:r>
            <w:r w:rsidR="00F03643">
              <w:t>neto</w:t>
            </w:r>
            <w:r>
              <w:t>heide näitab KHG sidumist</w:t>
            </w:r>
            <w:r w:rsidR="00F03643">
              <w:t xml:space="preserve"> sektoris</w:t>
            </w:r>
            <w:r>
              <w:t>). Metsamaa kategoorias hinnatakse süsiniku sidumist ja heidet elusas ja surnu</w:t>
            </w:r>
            <w:r w:rsidR="00F03643">
              <w:t>d</w:t>
            </w:r>
            <w:r>
              <w:t xml:space="preserve"> biomassis, mineraal- ja turvasmuldadelt, </w:t>
            </w:r>
            <w:r w:rsidR="00050A80">
              <w:t>CH</w:t>
            </w:r>
            <w:r w:rsidR="00050A80" w:rsidRPr="00BE2CED">
              <w:rPr>
                <w:vertAlign w:val="subscript"/>
              </w:rPr>
              <w:t>4</w:t>
            </w:r>
            <w:r w:rsidR="00050A80">
              <w:t xml:space="preserve"> ja N</w:t>
            </w:r>
            <w:r w:rsidR="00050A80" w:rsidRPr="00BE2CED">
              <w:rPr>
                <w:vertAlign w:val="subscript"/>
              </w:rPr>
              <w:t>2</w:t>
            </w:r>
            <w:r w:rsidR="00050A80">
              <w:t>O heitkoguseid</w:t>
            </w:r>
            <w:r>
              <w:t xml:space="preserve"> </w:t>
            </w:r>
            <w:r w:rsidR="00CC7AEF">
              <w:t xml:space="preserve">kuivendatud </w:t>
            </w:r>
            <w:r>
              <w:t xml:space="preserve">metsade </w:t>
            </w:r>
            <w:r w:rsidR="00CC7AEF">
              <w:t>turvasmuldadest</w:t>
            </w:r>
            <w:r>
              <w:t>, otseseid</w:t>
            </w:r>
            <w:r w:rsidR="00050A80">
              <w:t xml:space="preserve"> ja kaudseid</w:t>
            </w:r>
            <w:r>
              <w:t xml:space="preserve"> N</w:t>
            </w:r>
            <w:r w:rsidRPr="00BE2CED">
              <w:rPr>
                <w:vertAlign w:val="subscript"/>
              </w:rPr>
              <w:t>2</w:t>
            </w:r>
            <w:r>
              <w:t xml:space="preserve">O heitkoguseid lämmastiku mineraliseerumisest ja </w:t>
            </w:r>
            <w:r w:rsidR="00CC7AEF">
              <w:t xml:space="preserve">leostumisest ning </w:t>
            </w:r>
            <w:r w:rsidR="00050A80">
              <w:t>CH</w:t>
            </w:r>
            <w:r w:rsidR="00050A80" w:rsidRPr="00BE2CED">
              <w:rPr>
                <w:vertAlign w:val="subscript"/>
              </w:rPr>
              <w:t>4</w:t>
            </w:r>
            <w:r w:rsidR="00050A80">
              <w:t xml:space="preserve"> ja N</w:t>
            </w:r>
            <w:r w:rsidR="00050A80" w:rsidRPr="00BE2CED">
              <w:rPr>
                <w:vertAlign w:val="subscript"/>
              </w:rPr>
              <w:t>2</w:t>
            </w:r>
            <w:r w:rsidR="00050A80">
              <w:t xml:space="preserve">O </w:t>
            </w:r>
            <w:r>
              <w:t xml:space="preserve">heitkoguseid metsapõlengutest. Metsamaa kategooria KHG netoheitest märkimisväärse osa moodustab </w:t>
            </w:r>
            <w:r w:rsidR="00F03643">
              <w:t>KHG</w:t>
            </w:r>
            <w:r>
              <w:t xml:space="preserve"> heide, mis tuleneb metsa</w:t>
            </w:r>
            <w:r w:rsidR="00F03643">
              <w:softHyphen/>
            </w:r>
            <w:r>
              <w:t xml:space="preserve">muldadelt. </w:t>
            </w:r>
            <w:r w:rsidR="00F03643" w:rsidRPr="00023556">
              <w:rPr>
                <w:rFonts w:cstheme="minorHAnsi"/>
              </w:rPr>
              <w:t>Kogu Eesti metsa</w:t>
            </w:r>
            <w:r w:rsidR="00F03643">
              <w:rPr>
                <w:rFonts w:cstheme="minorHAnsi"/>
              </w:rPr>
              <w:softHyphen/>
            </w:r>
            <w:r w:rsidR="00F03643" w:rsidRPr="00023556">
              <w:rPr>
                <w:rFonts w:cstheme="minorHAnsi"/>
              </w:rPr>
              <w:t>muldadest on ligikaudu 24,3% turvasmullad, millest omakorda SMI järgi on kuivendamisest mõjutatud ligikaudu 48,1%.</w:t>
            </w:r>
            <w:r w:rsidR="00F03643">
              <w:rPr>
                <w:rFonts w:cstheme="minorHAnsi"/>
              </w:rPr>
              <w:t xml:space="preserve"> </w:t>
            </w:r>
            <w:r w:rsidR="003E0CD9">
              <w:t>Eesti m</w:t>
            </w:r>
            <w:r w:rsidR="00023556">
              <w:t>etsa</w:t>
            </w:r>
            <w:r w:rsidR="000B0CCD">
              <w:softHyphen/>
            </w:r>
            <w:r w:rsidR="00023556">
              <w:t>maa mineraal</w:t>
            </w:r>
            <w:r w:rsidR="002C62A6">
              <w:t>muldade</w:t>
            </w:r>
            <w:r w:rsidR="00023556">
              <w:t xml:space="preserve"> </w:t>
            </w:r>
            <w:r w:rsidR="00CC7AEF">
              <w:t>süsiniku</w:t>
            </w:r>
            <w:r w:rsidR="003E5652">
              <w:softHyphen/>
            </w:r>
            <w:r w:rsidR="002C62A6">
              <w:t>varu muutuste</w:t>
            </w:r>
            <w:r w:rsidR="00023556">
              <w:t xml:space="preserve"> </w:t>
            </w:r>
            <w:r w:rsidR="003E0CD9">
              <w:t>hindamiseks iga-aastases riiklikus KHG inventuuris</w:t>
            </w:r>
            <w:r w:rsidR="00023556">
              <w:t xml:space="preserve"> kasutatakse Rootsi eriheite</w:t>
            </w:r>
            <w:r w:rsidR="003E5652">
              <w:softHyphen/>
            </w:r>
            <w:r w:rsidR="00023556">
              <w:t>tegur</w:t>
            </w:r>
            <w:r w:rsidR="002C62A6">
              <w:t>it</w:t>
            </w:r>
            <w:r w:rsidR="003E0CD9">
              <w:t xml:space="preserve">, mis vastab </w:t>
            </w:r>
            <w:r>
              <w:t xml:space="preserve">IPCC järgi </w:t>
            </w:r>
            <w:r w:rsidR="003E0CD9">
              <w:t>Tier 2 määramis</w:t>
            </w:r>
            <w:r w:rsidR="00F03643">
              <w:softHyphen/>
            </w:r>
            <w:r w:rsidR="003E0CD9">
              <w:t>tasandiga metoodika</w:t>
            </w:r>
            <w:r w:rsidR="0007253D">
              <w:t>le</w:t>
            </w:r>
            <w:r w:rsidR="003E0CD9">
              <w:t>. Ü</w:t>
            </w:r>
            <w:r w:rsidR="00023556">
              <w:t>leminekukategooria</w:t>
            </w:r>
            <w:r w:rsidR="003E0CD9">
              <w:t>tes, kus</w:t>
            </w:r>
            <w:r w:rsidR="00023556">
              <w:t xml:space="preserve"> põll</w:t>
            </w:r>
            <w:r w:rsidR="0007253D">
              <w:t>u-</w:t>
            </w:r>
            <w:r w:rsidR="00023556">
              <w:t xml:space="preserve"> ja rohumaa </w:t>
            </w:r>
            <w:r w:rsidR="003E0CD9">
              <w:t xml:space="preserve">on </w:t>
            </w:r>
            <w:r w:rsidR="00023556">
              <w:t>muut</w:t>
            </w:r>
            <w:r w:rsidR="00CC7AEF">
              <w:t>unud</w:t>
            </w:r>
            <w:r w:rsidR="00023556">
              <w:t xml:space="preserve"> metsamaaks, on kasutusel riigipõhised eriheitetegurid tuginedes Kõlli jt (2009) </w:t>
            </w:r>
            <w:r w:rsidR="003E0CD9">
              <w:t>mulla</w:t>
            </w:r>
            <w:r w:rsidR="00F03643">
              <w:softHyphen/>
            </w:r>
            <w:r w:rsidR="003E0CD9">
              <w:t>tüüpide jaotusele</w:t>
            </w:r>
            <w:r>
              <w:t xml:space="preserve">, seega </w:t>
            </w:r>
            <w:r w:rsidR="0007253D">
              <w:t xml:space="preserve">vastab see </w:t>
            </w:r>
            <w:r>
              <w:t>Tier 2 metoodika</w:t>
            </w:r>
            <w:r w:rsidR="0007253D">
              <w:t>le</w:t>
            </w:r>
            <w:r w:rsidR="00023556">
              <w:t xml:space="preserve">. </w:t>
            </w:r>
            <w:r w:rsidR="003E0CD9">
              <w:t>Metsamaa k</w:t>
            </w:r>
            <w:r w:rsidR="00023556" w:rsidRPr="00023556">
              <w:rPr>
                <w:rFonts w:cstheme="minorHAnsi"/>
              </w:rPr>
              <w:t>uivendatud turvas</w:t>
            </w:r>
            <w:r w:rsidR="003E5652">
              <w:rPr>
                <w:rFonts w:cstheme="minorHAnsi"/>
              </w:rPr>
              <w:softHyphen/>
            </w:r>
            <w:r w:rsidR="00023556" w:rsidRPr="00023556">
              <w:rPr>
                <w:rFonts w:cstheme="minorHAnsi"/>
              </w:rPr>
              <w:t xml:space="preserve">muldadelt </w:t>
            </w:r>
            <w:r w:rsidR="002C62A6">
              <w:rPr>
                <w:rFonts w:cstheme="minorHAnsi"/>
              </w:rPr>
              <w:t>KHG</w:t>
            </w:r>
            <w:r w:rsidR="002C62A6" w:rsidRPr="00023556">
              <w:rPr>
                <w:rFonts w:cstheme="minorHAnsi"/>
              </w:rPr>
              <w:t xml:space="preserve"> </w:t>
            </w:r>
            <w:r w:rsidR="00023556" w:rsidRPr="00023556">
              <w:rPr>
                <w:rFonts w:cstheme="minorHAnsi"/>
              </w:rPr>
              <w:t xml:space="preserve">heite hindamiseks kasutatakse Tier 1 metoodikat ja IPCC vaikeväärtusi. </w:t>
            </w:r>
            <w:r w:rsidR="00BC1F41">
              <w:rPr>
                <w:rFonts w:cstheme="minorHAnsi"/>
              </w:rPr>
              <w:t>Teiste</w:t>
            </w:r>
            <w:r w:rsidR="000B0CCD">
              <w:rPr>
                <w:rFonts w:cstheme="minorHAnsi"/>
              </w:rPr>
              <w:t xml:space="preserve"> </w:t>
            </w:r>
            <w:r w:rsidR="00E61981">
              <w:rPr>
                <w:rFonts w:cstheme="minorHAnsi"/>
              </w:rPr>
              <w:t>metsa</w:t>
            </w:r>
            <w:r w:rsidR="003E5652">
              <w:rPr>
                <w:rFonts w:cstheme="minorHAnsi"/>
              </w:rPr>
              <w:softHyphen/>
            </w:r>
            <w:r w:rsidR="00E61981">
              <w:rPr>
                <w:rFonts w:cstheme="minorHAnsi"/>
              </w:rPr>
              <w:t>maa</w:t>
            </w:r>
            <w:r w:rsidR="00A031B1">
              <w:rPr>
                <w:rFonts w:cstheme="minorHAnsi"/>
              </w:rPr>
              <w:t xml:space="preserve"> </w:t>
            </w:r>
            <w:r w:rsidR="00BC1F41">
              <w:rPr>
                <w:rFonts w:cstheme="minorHAnsi"/>
              </w:rPr>
              <w:t xml:space="preserve">süsiniku talletajate </w:t>
            </w:r>
            <w:r w:rsidR="00A031B1">
              <w:rPr>
                <w:rFonts w:cstheme="minorHAnsi"/>
              </w:rPr>
              <w:t>(elus ja surnud biomass</w:t>
            </w:r>
            <w:r w:rsidR="000010BD">
              <w:rPr>
                <w:rFonts w:cstheme="minorHAnsi"/>
              </w:rPr>
              <w:t>,</w:t>
            </w:r>
            <w:r w:rsidR="00A031B1">
              <w:rPr>
                <w:rFonts w:cstheme="minorHAnsi"/>
              </w:rPr>
              <w:t xml:space="preserve"> varis jne)</w:t>
            </w:r>
            <w:r w:rsidR="00E61981">
              <w:rPr>
                <w:rFonts w:cstheme="minorHAnsi"/>
              </w:rPr>
              <w:t xml:space="preserve"> KHG hinnang</w:t>
            </w:r>
            <w:r w:rsidR="00A031B1">
              <w:rPr>
                <w:rFonts w:cstheme="minorHAnsi"/>
              </w:rPr>
              <w:t>ud</w:t>
            </w:r>
            <w:r w:rsidR="00E61981">
              <w:rPr>
                <w:rFonts w:cstheme="minorHAnsi"/>
              </w:rPr>
              <w:t xml:space="preserve"> tugine</w:t>
            </w:r>
            <w:r w:rsidR="00A031B1">
              <w:rPr>
                <w:rFonts w:cstheme="minorHAnsi"/>
              </w:rPr>
              <w:t>vad</w:t>
            </w:r>
            <w:r w:rsidR="00D003F6">
              <w:rPr>
                <w:rFonts w:cstheme="minorHAnsi"/>
              </w:rPr>
              <w:t xml:space="preserve"> peamiselt</w:t>
            </w:r>
            <w:r w:rsidR="00A031B1">
              <w:rPr>
                <w:rFonts w:cstheme="minorHAnsi"/>
              </w:rPr>
              <w:t xml:space="preserve"> Tier 2 ja</w:t>
            </w:r>
            <w:r w:rsidR="00E61981">
              <w:rPr>
                <w:rFonts w:cstheme="minorHAnsi"/>
              </w:rPr>
              <w:t xml:space="preserve"> Tier 3 metoodika</w:t>
            </w:r>
            <w:r w:rsidR="00A031B1">
              <w:rPr>
                <w:rFonts w:cstheme="minorHAnsi"/>
              </w:rPr>
              <w:t>te</w:t>
            </w:r>
            <w:r w:rsidR="00E61981">
              <w:rPr>
                <w:rFonts w:cstheme="minorHAnsi"/>
              </w:rPr>
              <w:t xml:space="preserve">le. </w:t>
            </w:r>
          </w:p>
          <w:p w14:paraId="45B13B43" w14:textId="7BF0DAAB" w:rsidR="00C017C3" w:rsidRPr="00EA35EF" w:rsidRDefault="00C017C3" w:rsidP="000C5500">
            <w:pPr>
              <w:jc w:val="both"/>
              <w:rPr>
                <w:rFonts w:ascii="Times New Roman" w:hAnsi="Times New Roman"/>
                <w:szCs w:val="24"/>
              </w:rPr>
            </w:pPr>
          </w:p>
        </w:tc>
      </w:tr>
      <w:tr w:rsidR="00205038" w:rsidRPr="003B77EC" w14:paraId="3CD5386D" w14:textId="77777777" w:rsidTr="002E62AA">
        <w:tc>
          <w:tcPr>
            <w:tcW w:w="9062" w:type="dxa"/>
            <w:shd w:val="clear" w:color="auto" w:fill="D9D9D9"/>
          </w:tcPr>
          <w:p w14:paraId="6C776E74" w14:textId="65C99A12" w:rsidR="00205038" w:rsidRPr="003B77EC" w:rsidRDefault="00205038" w:rsidP="00205038">
            <w:pPr>
              <w:tabs>
                <w:tab w:val="left" w:pos="2684"/>
              </w:tabs>
              <w:rPr>
                <w:rFonts w:ascii="Times New Roman" w:hAnsi="Times New Roman" w:cs="Times New Roman"/>
                <w:b/>
                <w:sz w:val="24"/>
                <w:szCs w:val="24"/>
              </w:rPr>
            </w:pPr>
            <w:r w:rsidRPr="003B77EC">
              <w:rPr>
                <w:rFonts w:ascii="Times New Roman" w:hAnsi="Times New Roman" w:cs="Times New Roman"/>
                <w:b/>
                <w:sz w:val="24"/>
                <w:szCs w:val="24"/>
              </w:rPr>
              <w:lastRenderedPageBreak/>
              <w:t>Eesmärk</w:t>
            </w:r>
            <w:r w:rsidRPr="003B77EC">
              <w:rPr>
                <w:rFonts w:ascii="Times New Roman" w:hAnsi="Times New Roman" w:cs="Times New Roman"/>
                <w:b/>
                <w:sz w:val="24"/>
                <w:szCs w:val="24"/>
              </w:rPr>
              <w:tab/>
            </w:r>
          </w:p>
        </w:tc>
      </w:tr>
      <w:tr w:rsidR="00205038" w:rsidRPr="003B77EC" w14:paraId="61389133" w14:textId="77777777" w:rsidTr="002E62AA">
        <w:tc>
          <w:tcPr>
            <w:tcW w:w="9062" w:type="dxa"/>
          </w:tcPr>
          <w:p w14:paraId="56C8907A" w14:textId="4A79C813" w:rsidR="00205038" w:rsidRPr="00EC4824" w:rsidRDefault="006E7F08" w:rsidP="00422352">
            <w:pPr>
              <w:pStyle w:val="Kommentaaritekst"/>
              <w:jc w:val="both"/>
              <w:rPr>
                <w:rFonts w:cstheme="minorHAnsi"/>
                <w:b/>
                <w:bCs/>
                <w:sz w:val="22"/>
                <w:szCs w:val="22"/>
              </w:rPr>
            </w:pPr>
            <w:r w:rsidRPr="00EC4824">
              <w:rPr>
                <w:rFonts w:cstheme="minorHAnsi"/>
                <w:b/>
                <w:bCs/>
                <w:sz w:val="22"/>
                <w:szCs w:val="22"/>
              </w:rPr>
              <w:t xml:space="preserve">Projekti eesmärk on </w:t>
            </w:r>
            <w:r w:rsidR="004703F4" w:rsidRPr="00EC4824">
              <w:rPr>
                <w:rFonts w:cstheme="minorHAnsi"/>
                <w:b/>
                <w:bCs/>
                <w:sz w:val="22"/>
                <w:szCs w:val="22"/>
              </w:rPr>
              <w:t>KHG inventuuri LULUCF sektori</w:t>
            </w:r>
            <w:r w:rsidR="000E1492" w:rsidRPr="00EC4824">
              <w:rPr>
                <w:rFonts w:cstheme="minorHAnsi"/>
                <w:b/>
                <w:bCs/>
                <w:sz w:val="22"/>
                <w:szCs w:val="22"/>
              </w:rPr>
              <w:t xml:space="preserve"> metsamaa kategoorias välja töötada</w:t>
            </w:r>
            <w:r w:rsidR="004703F4" w:rsidRPr="00EC4824">
              <w:rPr>
                <w:rFonts w:cstheme="minorHAnsi"/>
                <w:b/>
                <w:bCs/>
                <w:sz w:val="22"/>
                <w:szCs w:val="22"/>
              </w:rPr>
              <w:t xml:space="preserve"> </w:t>
            </w:r>
            <w:r w:rsidR="000E1492" w:rsidRPr="00EC4824">
              <w:rPr>
                <w:rFonts w:cstheme="minorHAnsi"/>
                <w:b/>
                <w:bCs/>
                <w:sz w:val="22"/>
                <w:szCs w:val="22"/>
              </w:rPr>
              <w:t xml:space="preserve">ja kasutusele võtta </w:t>
            </w:r>
            <w:r w:rsidR="004703F4" w:rsidRPr="00EC4824">
              <w:rPr>
                <w:rFonts w:cstheme="minorHAnsi"/>
                <w:b/>
                <w:bCs/>
                <w:sz w:val="22"/>
                <w:szCs w:val="22"/>
              </w:rPr>
              <w:t>Eesti tingimustele sobiv ja IPCC</w:t>
            </w:r>
            <w:r w:rsidR="000E1492" w:rsidRPr="00EC4824">
              <w:rPr>
                <w:rStyle w:val="Allmrkuseviide"/>
                <w:rFonts w:cstheme="minorHAnsi"/>
                <w:b/>
                <w:bCs/>
                <w:sz w:val="22"/>
                <w:szCs w:val="22"/>
              </w:rPr>
              <w:footnoteReference w:id="10"/>
            </w:r>
            <w:r w:rsidR="004703F4" w:rsidRPr="00EC4824">
              <w:rPr>
                <w:rFonts w:cstheme="minorHAnsi"/>
                <w:b/>
                <w:bCs/>
                <w:sz w:val="22"/>
                <w:szCs w:val="22"/>
              </w:rPr>
              <w:t xml:space="preserve"> nõuetele vastav Tier 3 metoodika (</w:t>
            </w:r>
            <w:r w:rsidR="001605A0" w:rsidRPr="00EC4824">
              <w:rPr>
                <w:rFonts w:cstheme="minorHAnsi"/>
                <w:b/>
                <w:bCs/>
                <w:sz w:val="22"/>
                <w:szCs w:val="22"/>
              </w:rPr>
              <w:t>arvutus</w:t>
            </w:r>
            <w:r w:rsidR="00EC4824">
              <w:rPr>
                <w:rFonts w:cstheme="minorHAnsi"/>
                <w:b/>
                <w:bCs/>
                <w:sz w:val="22"/>
                <w:szCs w:val="22"/>
              </w:rPr>
              <w:softHyphen/>
            </w:r>
            <w:r w:rsidR="004703F4" w:rsidRPr="00EC4824">
              <w:rPr>
                <w:rFonts w:cstheme="minorHAnsi"/>
                <w:b/>
                <w:bCs/>
                <w:sz w:val="22"/>
                <w:szCs w:val="22"/>
              </w:rPr>
              <w:t xml:space="preserve">mudel) metsamaa </w:t>
            </w:r>
            <w:r w:rsidR="000E1492" w:rsidRPr="00EC4824">
              <w:rPr>
                <w:rFonts w:cstheme="minorHAnsi"/>
                <w:b/>
                <w:bCs/>
                <w:sz w:val="22"/>
                <w:szCs w:val="22"/>
              </w:rPr>
              <w:t>mineraal- ja turvas</w:t>
            </w:r>
            <w:r w:rsidR="004703F4" w:rsidRPr="00EC4824">
              <w:rPr>
                <w:rFonts w:cstheme="minorHAnsi"/>
                <w:b/>
                <w:bCs/>
                <w:sz w:val="22"/>
                <w:szCs w:val="22"/>
              </w:rPr>
              <w:t>muldade</w:t>
            </w:r>
            <w:r w:rsidR="000E1492" w:rsidRPr="00EC4824">
              <w:rPr>
                <w:rFonts w:cstheme="minorHAnsi"/>
                <w:b/>
                <w:bCs/>
                <w:sz w:val="22"/>
                <w:szCs w:val="22"/>
              </w:rPr>
              <w:t xml:space="preserve"> süsinikuvaru muutuste ja </w:t>
            </w:r>
            <w:r w:rsidR="004703F4" w:rsidRPr="00EC4824">
              <w:rPr>
                <w:rFonts w:cstheme="minorHAnsi"/>
                <w:b/>
                <w:bCs/>
                <w:sz w:val="22"/>
                <w:szCs w:val="22"/>
              </w:rPr>
              <w:t xml:space="preserve">KHG voogude hindamiseks. </w:t>
            </w:r>
          </w:p>
          <w:p w14:paraId="5A45F6E1" w14:textId="77777777" w:rsidR="0040077B" w:rsidRDefault="0040077B" w:rsidP="00A02B11">
            <w:pPr>
              <w:pStyle w:val="Kommentaaritekst"/>
              <w:jc w:val="both"/>
              <w:rPr>
                <w:rFonts w:cstheme="minorHAnsi"/>
                <w:sz w:val="22"/>
                <w:szCs w:val="22"/>
              </w:rPr>
            </w:pPr>
          </w:p>
          <w:p w14:paraId="7E175C30" w14:textId="163D1017" w:rsidR="0004117D" w:rsidRPr="003C29E0" w:rsidRDefault="0004117D" w:rsidP="00A02B11">
            <w:pPr>
              <w:pStyle w:val="Kommentaaritekst"/>
              <w:jc w:val="both"/>
              <w:rPr>
                <w:rFonts w:cstheme="minorHAnsi"/>
                <w:sz w:val="22"/>
                <w:szCs w:val="22"/>
              </w:rPr>
            </w:pPr>
          </w:p>
        </w:tc>
      </w:tr>
      <w:tr w:rsidR="00205038" w:rsidRPr="003B77EC" w14:paraId="47609CA9" w14:textId="77777777" w:rsidTr="002E62AA">
        <w:tc>
          <w:tcPr>
            <w:tcW w:w="9062" w:type="dxa"/>
            <w:shd w:val="clear" w:color="auto" w:fill="D9D9D9"/>
          </w:tcPr>
          <w:p w14:paraId="522743CB" w14:textId="7AC1E16E" w:rsidR="00205038" w:rsidRPr="003B77EC" w:rsidRDefault="0040077B" w:rsidP="00205038">
            <w:pPr>
              <w:tabs>
                <w:tab w:val="left" w:pos="3684"/>
                <w:tab w:val="center" w:pos="4423"/>
              </w:tabs>
              <w:rPr>
                <w:rFonts w:ascii="Times New Roman" w:hAnsi="Times New Roman" w:cs="Times New Roman"/>
                <w:b/>
                <w:sz w:val="24"/>
                <w:szCs w:val="24"/>
                <w:highlight w:val="lightGray"/>
              </w:rPr>
            </w:pPr>
            <w:r>
              <w:lastRenderedPageBreak/>
              <w:br w:type="page"/>
            </w:r>
            <w:r w:rsidR="00205038" w:rsidRPr="003B77EC">
              <w:rPr>
                <w:rFonts w:ascii="Times New Roman" w:hAnsi="Times New Roman" w:cs="Times New Roman"/>
                <w:b/>
                <w:sz w:val="24"/>
                <w:szCs w:val="24"/>
                <w:highlight w:val="lightGray"/>
              </w:rPr>
              <w:t>Uurimis</w:t>
            </w:r>
            <w:r w:rsidR="00113BAF">
              <w:rPr>
                <w:rFonts w:ascii="Times New Roman" w:hAnsi="Times New Roman" w:cs="Times New Roman"/>
                <w:b/>
                <w:sz w:val="24"/>
                <w:szCs w:val="24"/>
                <w:highlight w:val="lightGray"/>
              </w:rPr>
              <w:t>ülesanded</w:t>
            </w:r>
          </w:p>
        </w:tc>
      </w:tr>
      <w:tr w:rsidR="00205038" w:rsidRPr="003B77EC" w14:paraId="312556C8" w14:textId="77777777" w:rsidTr="002E62AA">
        <w:tc>
          <w:tcPr>
            <w:tcW w:w="9062" w:type="dxa"/>
          </w:tcPr>
          <w:p w14:paraId="69CF6E1A" w14:textId="6DDF61AF" w:rsidR="001605A0" w:rsidRDefault="001605A0" w:rsidP="001605A0">
            <w:pPr>
              <w:pStyle w:val="Kommentaaritekst"/>
              <w:jc w:val="both"/>
              <w:rPr>
                <w:rFonts w:cstheme="minorHAnsi"/>
                <w:sz w:val="22"/>
                <w:szCs w:val="22"/>
              </w:rPr>
            </w:pPr>
            <w:r>
              <w:rPr>
                <w:rFonts w:cstheme="minorHAnsi"/>
                <w:sz w:val="22"/>
                <w:szCs w:val="22"/>
              </w:rPr>
              <w:t>Projekti eesmärgi täitmiseks on tarvis:</w:t>
            </w:r>
          </w:p>
          <w:p w14:paraId="1880A6A9" w14:textId="1964521B" w:rsidR="00F855E9" w:rsidRDefault="00F855E9" w:rsidP="00F855E9">
            <w:pPr>
              <w:pStyle w:val="Kommentaaritekst"/>
              <w:numPr>
                <w:ilvl w:val="0"/>
                <w:numId w:val="13"/>
              </w:numPr>
              <w:jc w:val="both"/>
              <w:rPr>
                <w:rFonts w:cstheme="minorHAnsi"/>
                <w:sz w:val="22"/>
                <w:szCs w:val="22"/>
              </w:rPr>
            </w:pPr>
            <w:r w:rsidRPr="00EC4824">
              <w:rPr>
                <w:rFonts w:cstheme="minorHAnsi"/>
                <w:b/>
                <w:bCs/>
                <w:sz w:val="22"/>
                <w:szCs w:val="22"/>
              </w:rPr>
              <w:t>Analüüsida erinevate mullamudelite sobivust</w:t>
            </w:r>
            <w:r>
              <w:rPr>
                <w:rFonts w:cstheme="minorHAnsi"/>
                <w:sz w:val="22"/>
                <w:szCs w:val="22"/>
              </w:rPr>
              <w:t xml:space="preserve"> Eesti metsamaa </w:t>
            </w:r>
            <w:r w:rsidR="008B5AFA">
              <w:rPr>
                <w:rFonts w:cstheme="minorHAnsi"/>
                <w:sz w:val="22"/>
                <w:szCs w:val="22"/>
              </w:rPr>
              <w:t>mineraal- ja turvas</w:t>
            </w:r>
            <w:r w:rsidR="008B5AFA">
              <w:rPr>
                <w:rFonts w:cstheme="minorHAnsi"/>
                <w:sz w:val="22"/>
                <w:szCs w:val="22"/>
              </w:rPr>
              <w:softHyphen/>
            </w:r>
            <w:r>
              <w:rPr>
                <w:rFonts w:cstheme="minorHAnsi"/>
                <w:sz w:val="22"/>
                <w:szCs w:val="22"/>
              </w:rPr>
              <w:t xml:space="preserve">muldadele, </w:t>
            </w:r>
            <w:r w:rsidRPr="005D0BCA">
              <w:rPr>
                <w:rFonts w:cstheme="minorHAnsi"/>
                <w:sz w:val="22"/>
                <w:szCs w:val="22"/>
              </w:rPr>
              <w:t>sh hinnates olemas</w:t>
            </w:r>
            <w:r>
              <w:rPr>
                <w:rFonts w:cstheme="minorHAnsi"/>
                <w:sz w:val="22"/>
                <w:szCs w:val="22"/>
              </w:rPr>
              <w:softHyphen/>
            </w:r>
            <w:r w:rsidRPr="005D0BCA">
              <w:rPr>
                <w:rFonts w:cstheme="minorHAnsi"/>
                <w:sz w:val="22"/>
                <w:szCs w:val="22"/>
              </w:rPr>
              <w:t>olevate seireandmete piisavust mudeli edaspidiseks rakendamiseks riiklikus KHG inventuuris;</w:t>
            </w:r>
          </w:p>
          <w:p w14:paraId="376979E1" w14:textId="2C018B00" w:rsidR="001605A0" w:rsidRDefault="008B5AFA" w:rsidP="001605A0">
            <w:pPr>
              <w:pStyle w:val="Kommentaaritekst"/>
              <w:numPr>
                <w:ilvl w:val="0"/>
                <w:numId w:val="13"/>
              </w:numPr>
              <w:jc w:val="both"/>
              <w:rPr>
                <w:rFonts w:cstheme="minorHAnsi"/>
                <w:sz w:val="22"/>
                <w:szCs w:val="22"/>
              </w:rPr>
            </w:pPr>
            <w:r>
              <w:rPr>
                <w:rFonts w:cstheme="minorHAnsi"/>
                <w:b/>
                <w:bCs/>
                <w:sz w:val="22"/>
                <w:szCs w:val="22"/>
              </w:rPr>
              <w:t xml:space="preserve">Koondada </w:t>
            </w:r>
            <w:r w:rsidR="00F855E9">
              <w:rPr>
                <w:rFonts w:cstheme="minorHAnsi"/>
                <w:b/>
                <w:bCs/>
                <w:sz w:val="22"/>
                <w:szCs w:val="22"/>
              </w:rPr>
              <w:t>Eesti metsamuldadega seotud</w:t>
            </w:r>
            <w:r w:rsidR="001605A0" w:rsidRPr="00EC4824">
              <w:rPr>
                <w:rFonts w:cstheme="minorHAnsi"/>
                <w:b/>
                <w:bCs/>
                <w:sz w:val="22"/>
                <w:szCs w:val="22"/>
              </w:rPr>
              <w:t xml:space="preserve"> teadus</w:t>
            </w:r>
            <w:r w:rsidR="00F855E9">
              <w:rPr>
                <w:rFonts w:cstheme="minorHAnsi"/>
                <w:b/>
                <w:bCs/>
                <w:sz w:val="22"/>
                <w:szCs w:val="22"/>
              </w:rPr>
              <w:t>projektidele</w:t>
            </w:r>
            <w:r w:rsidR="001605A0" w:rsidRPr="00EC4824">
              <w:rPr>
                <w:rFonts w:cstheme="minorHAnsi"/>
                <w:b/>
                <w:bCs/>
                <w:sz w:val="22"/>
                <w:szCs w:val="22"/>
              </w:rPr>
              <w:t xml:space="preserve"> tuginev </w:t>
            </w:r>
            <w:r>
              <w:rPr>
                <w:rFonts w:cstheme="minorHAnsi"/>
                <w:b/>
                <w:bCs/>
                <w:sz w:val="22"/>
                <w:szCs w:val="22"/>
              </w:rPr>
              <w:t>andmestik</w:t>
            </w:r>
            <w:r w:rsidR="001605A0" w:rsidRPr="00EC4824">
              <w:rPr>
                <w:rFonts w:cstheme="minorHAnsi"/>
                <w:b/>
                <w:bCs/>
                <w:sz w:val="22"/>
                <w:szCs w:val="22"/>
              </w:rPr>
              <w:t xml:space="preserve"> </w:t>
            </w:r>
            <w:r w:rsidR="00F855E9">
              <w:rPr>
                <w:rFonts w:cstheme="minorHAnsi"/>
                <w:b/>
                <w:bCs/>
                <w:sz w:val="22"/>
                <w:szCs w:val="22"/>
              </w:rPr>
              <w:t>kesk</w:t>
            </w:r>
            <w:r w:rsidR="00F855E9">
              <w:rPr>
                <w:rFonts w:cstheme="minorHAnsi"/>
                <w:b/>
                <w:bCs/>
                <w:sz w:val="22"/>
                <w:szCs w:val="22"/>
              </w:rPr>
              <w:softHyphen/>
              <w:t>konna</w:t>
            </w:r>
            <w:r w:rsidR="00F855E9">
              <w:rPr>
                <w:rFonts w:cstheme="minorHAnsi"/>
                <w:b/>
                <w:bCs/>
                <w:sz w:val="22"/>
                <w:szCs w:val="22"/>
              </w:rPr>
              <w:softHyphen/>
              <w:t xml:space="preserve">parameetritest, mis on vajalikud mullamudeli(te)ga süsinikuvaru muutuste ja </w:t>
            </w:r>
            <w:r w:rsidR="001605A0" w:rsidRPr="00EC4824">
              <w:rPr>
                <w:rFonts w:cstheme="minorHAnsi"/>
                <w:b/>
                <w:bCs/>
                <w:sz w:val="22"/>
                <w:szCs w:val="22"/>
              </w:rPr>
              <w:t>KHG</w:t>
            </w:r>
            <w:r w:rsidR="000B6C05">
              <w:rPr>
                <w:rFonts w:cstheme="minorHAnsi"/>
                <w:sz w:val="22"/>
                <w:szCs w:val="22"/>
              </w:rPr>
              <w:t xml:space="preserve"> (CO2, CH4, N2O)</w:t>
            </w:r>
            <w:r w:rsidR="001605A0">
              <w:rPr>
                <w:rFonts w:cstheme="minorHAnsi"/>
                <w:sz w:val="22"/>
                <w:szCs w:val="22"/>
              </w:rPr>
              <w:t xml:space="preserve"> </w:t>
            </w:r>
            <w:r w:rsidR="001605A0" w:rsidRPr="00EC4824">
              <w:rPr>
                <w:rFonts w:cstheme="minorHAnsi"/>
                <w:b/>
                <w:bCs/>
                <w:sz w:val="22"/>
                <w:szCs w:val="22"/>
              </w:rPr>
              <w:t>voogude</w:t>
            </w:r>
            <w:r w:rsidR="001605A0">
              <w:rPr>
                <w:rFonts w:cstheme="minorHAnsi"/>
                <w:sz w:val="22"/>
                <w:szCs w:val="22"/>
              </w:rPr>
              <w:t xml:space="preserve"> </w:t>
            </w:r>
            <w:r w:rsidR="00F855E9" w:rsidRPr="00986FB4">
              <w:rPr>
                <w:rFonts w:cstheme="minorHAnsi"/>
                <w:b/>
                <w:bCs/>
                <w:sz w:val="22"/>
                <w:szCs w:val="22"/>
              </w:rPr>
              <w:t>hindamiseks</w:t>
            </w:r>
            <w:r w:rsidR="00F855E9">
              <w:rPr>
                <w:rFonts w:cstheme="minorHAnsi"/>
                <w:sz w:val="22"/>
                <w:szCs w:val="22"/>
              </w:rPr>
              <w:t xml:space="preserve">. </w:t>
            </w:r>
            <w:r w:rsidR="00F855E9" w:rsidRPr="00F855E9">
              <w:rPr>
                <w:rFonts w:cstheme="minorHAnsi"/>
                <w:sz w:val="22"/>
                <w:szCs w:val="22"/>
              </w:rPr>
              <w:t xml:space="preserve">Muuhulgas võiks andmebaas sisaldada KHG </w:t>
            </w:r>
            <w:r w:rsidR="001605A0" w:rsidRPr="00986FB4">
              <w:rPr>
                <w:rFonts w:cstheme="minorHAnsi"/>
                <w:sz w:val="22"/>
                <w:szCs w:val="22"/>
              </w:rPr>
              <w:t>mõõtmis</w:t>
            </w:r>
            <w:r w:rsidR="00F855E9" w:rsidRPr="00986FB4">
              <w:rPr>
                <w:rFonts w:cstheme="minorHAnsi"/>
                <w:sz w:val="22"/>
                <w:szCs w:val="22"/>
              </w:rPr>
              <w:t>i metsamaal</w:t>
            </w:r>
            <w:r w:rsidR="000B6C05" w:rsidRPr="00986FB4">
              <w:rPr>
                <w:rFonts w:cstheme="minorHAnsi"/>
                <w:sz w:val="22"/>
                <w:szCs w:val="22"/>
              </w:rPr>
              <w:t xml:space="preserve">, </w:t>
            </w:r>
            <w:r w:rsidR="003753F2" w:rsidRPr="00986FB4">
              <w:rPr>
                <w:rFonts w:cstheme="minorHAnsi"/>
                <w:sz w:val="22"/>
                <w:szCs w:val="22"/>
              </w:rPr>
              <w:t xml:space="preserve">varise- ja </w:t>
            </w:r>
            <w:r w:rsidR="000B6C05" w:rsidRPr="00986FB4">
              <w:rPr>
                <w:rFonts w:cstheme="minorHAnsi"/>
                <w:sz w:val="22"/>
                <w:szCs w:val="22"/>
              </w:rPr>
              <w:t>mullaanalüüs</w:t>
            </w:r>
            <w:r w:rsidR="00F855E9" w:rsidRPr="00986FB4">
              <w:rPr>
                <w:rFonts w:cstheme="minorHAnsi"/>
                <w:sz w:val="22"/>
                <w:szCs w:val="22"/>
              </w:rPr>
              <w:t>e</w:t>
            </w:r>
            <w:r w:rsidR="000B6C05" w:rsidRPr="00986FB4">
              <w:rPr>
                <w:rFonts w:cstheme="minorHAnsi"/>
                <w:sz w:val="22"/>
                <w:szCs w:val="22"/>
              </w:rPr>
              <w:t xml:space="preserve"> jm asja</w:t>
            </w:r>
            <w:r w:rsidR="003753F2" w:rsidRPr="00986FB4">
              <w:rPr>
                <w:rFonts w:cstheme="minorHAnsi"/>
                <w:sz w:val="22"/>
                <w:szCs w:val="22"/>
              </w:rPr>
              <w:softHyphen/>
            </w:r>
            <w:r w:rsidR="000B6C05" w:rsidRPr="00986FB4">
              <w:rPr>
                <w:rFonts w:cstheme="minorHAnsi"/>
                <w:sz w:val="22"/>
                <w:szCs w:val="22"/>
              </w:rPr>
              <w:t>kohas</w:t>
            </w:r>
            <w:r w:rsidR="00F855E9" w:rsidRPr="00986FB4">
              <w:rPr>
                <w:rFonts w:cstheme="minorHAnsi"/>
                <w:sz w:val="22"/>
                <w:szCs w:val="22"/>
              </w:rPr>
              <w:t>eid parameetreid</w:t>
            </w:r>
            <w:r w:rsidR="000B6C05" w:rsidRPr="00F855E9">
              <w:rPr>
                <w:rFonts w:cstheme="minorHAnsi"/>
                <w:sz w:val="22"/>
                <w:szCs w:val="22"/>
              </w:rPr>
              <w:t xml:space="preserve">. </w:t>
            </w:r>
            <w:r w:rsidR="00E11EA9" w:rsidRPr="00F855E9">
              <w:rPr>
                <w:rFonts w:cstheme="minorHAnsi"/>
                <w:sz w:val="22"/>
                <w:szCs w:val="22"/>
              </w:rPr>
              <w:t>Lisaks</w:t>
            </w:r>
            <w:r w:rsidR="00E11EA9" w:rsidRPr="005D0BCA">
              <w:rPr>
                <w:rFonts w:cstheme="minorHAnsi"/>
                <w:sz w:val="22"/>
                <w:szCs w:val="22"/>
              </w:rPr>
              <w:t xml:space="preserve"> </w:t>
            </w:r>
            <w:r w:rsidR="00E11EA9">
              <w:rPr>
                <w:rFonts w:cstheme="minorHAnsi"/>
                <w:sz w:val="22"/>
                <w:szCs w:val="22"/>
              </w:rPr>
              <w:t>tuleb</w:t>
            </w:r>
            <w:r w:rsidR="00E11EA9" w:rsidRPr="005D0BCA">
              <w:rPr>
                <w:rFonts w:cstheme="minorHAnsi"/>
                <w:sz w:val="22"/>
                <w:szCs w:val="22"/>
              </w:rPr>
              <w:t xml:space="preserve"> kasutada Eesti riikliku keskkonna</w:t>
            </w:r>
            <w:r w:rsidR="00E11EA9" w:rsidRPr="005D0BCA">
              <w:rPr>
                <w:rFonts w:cstheme="minorHAnsi"/>
                <w:sz w:val="22"/>
                <w:szCs w:val="22"/>
              </w:rPr>
              <w:softHyphen/>
              <w:t>seire andme</w:t>
            </w:r>
            <w:r w:rsidR="00E11EA9">
              <w:rPr>
                <w:rFonts w:cstheme="minorHAnsi"/>
                <w:sz w:val="22"/>
                <w:szCs w:val="22"/>
              </w:rPr>
              <w:softHyphen/>
            </w:r>
            <w:r w:rsidR="00E11EA9" w:rsidRPr="005D0BCA">
              <w:rPr>
                <w:rFonts w:cstheme="minorHAnsi"/>
                <w:sz w:val="22"/>
                <w:szCs w:val="22"/>
              </w:rPr>
              <w:t>baasi ja võimalusel ka muid olemas</w:t>
            </w:r>
            <w:r w:rsidR="00EC4824">
              <w:rPr>
                <w:rFonts w:cstheme="minorHAnsi"/>
                <w:sz w:val="22"/>
                <w:szCs w:val="22"/>
              </w:rPr>
              <w:softHyphen/>
            </w:r>
            <w:r w:rsidR="00E11EA9" w:rsidRPr="005D0BCA">
              <w:rPr>
                <w:rFonts w:cstheme="minorHAnsi"/>
                <w:sz w:val="22"/>
                <w:szCs w:val="22"/>
              </w:rPr>
              <w:t>olevaid andme</w:t>
            </w:r>
            <w:r w:rsidR="00986FB4">
              <w:rPr>
                <w:rFonts w:cstheme="minorHAnsi"/>
                <w:sz w:val="22"/>
                <w:szCs w:val="22"/>
              </w:rPr>
              <w:softHyphen/>
            </w:r>
            <w:r w:rsidR="00E11EA9" w:rsidRPr="005D0BCA">
              <w:rPr>
                <w:rFonts w:cstheme="minorHAnsi"/>
                <w:sz w:val="22"/>
                <w:szCs w:val="22"/>
              </w:rPr>
              <w:t>baase Eesti muldade kohta</w:t>
            </w:r>
            <w:r w:rsidR="00E11EA9">
              <w:rPr>
                <w:rFonts w:cstheme="minorHAnsi"/>
                <w:sz w:val="22"/>
                <w:szCs w:val="22"/>
              </w:rPr>
              <w:t>.</w:t>
            </w:r>
            <w:r w:rsidR="00E11EA9" w:rsidRPr="005D0BCA">
              <w:rPr>
                <w:rFonts w:cstheme="minorHAnsi"/>
                <w:sz w:val="22"/>
                <w:szCs w:val="22"/>
              </w:rPr>
              <w:t xml:space="preserve"> </w:t>
            </w:r>
            <w:r w:rsidR="000B6C05" w:rsidRPr="005D0BCA">
              <w:rPr>
                <w:rFonts w:cstheme="minorHAnsi"/>
                <w:sz w:val="22"/>
                <w:szCs w:val="22"/>
              </w:rPr>
              <w:t>Töö käigus on soovitatav läbi töötada ning võimalusel ja vajadusel kasutada ka lähiriikide uuringutulemusi, mis on Eesti oludes rakendatavad</w:t>
            </w:r>
            <w:r w:rsidR="000B6C05">
              <w:rPr>
                <w:rFonts w:cstheme="minorHAnsi"/>
                <w:sz w:val="22"/>
                <w:szCs w:val="22"/>
              </w:rPr>
              <w:t>;</w:t>
            </w:r>
          </w:p>
          <w:p w14:paraId="40E81473" w14:textId="19CF9D65" w:rsidR="000B0CCD" w:rsidRPr="00DA532F" w:rsidRDefault="00F855E9" w:rsidP="000B0CCD">
            <w:pPr>
              <w:pStyle w:val="Kommentaaritekst"/>
              <w:numPr>
                <w:ilvl w:val="0"/>
                <w:numId w:val="13"/>
              </w:numPr>
              <w:jc w:val="both"/>
              <w:rPr>
                <w:rFonts w:cstheme="minorHAnsi"/>
                <w:sz w:val="22"/>
                <w:szCs w:val="22"/>
              </w:rPr>
            </w:pPr>
            <w:r>
              <w:rPr>
                <w:rFonts w:cstheme="minorHAnsi"/>
                <w:sz w:val="22"/>
                <w:szCs w:val="22"/>
              </w:rPr>
              <w:t xml:space="preserve">Eelmises punktis nimetatud </w:t>
            </w:r>
            <w:r w:rsidR="008B5AFA">
              <w:rPr>
                <w:rFonts w:cstheme="minorHAnsi"/>
                <w:sz w:val="22"/>
                <w:szCs w:val="22"/>
              </w:rPr>
              <w:t>andmestiku</w:t>
            </w:r>
            <w:r>
              <w:rPr>
                <w:rFonts w:cstheme="minorHAnsi"/>
                <w:sz w:val="22"/>
                <w:szCs w:val="22"/>
              </w:rPr>
              <w:t xml:space="preserve"> ning selle sisulisele ja ruumilisele analüüsile </w:t>
            </w:r>
            <w:r w:rsidR="000B0CCD">
              <w:rPr>
                <w:rFonts w:cstheme="minorHAnsi"/>
                <w:sz w:val="22"/>
                <w:szCs w:val="22"/>
              </w:rPr>
              <w:t xml:space="preserve">tuginedes </w:t>
            </w:r>
            <w:r w:rsidR="000B0CCD" w:rsidRPr="00986FB4">
              <w:rPr>
                <w:rFonts w:cstheme="minorHAnsi"/>
                <w:b/>
                <w:bCs/>
                <w:sz w:val="22"/>
                <w:szCs w:val="22"/>
              </w:rPr>
              <w:t>koostada valim täiendavate mõõtmiste läbi</w:t>
            </w:r>
            <w:r w:rsidR="000B0CCD" w:rsidRPr="00986FB4">
              <w:rPr>
                <w:rFonts w:cstheme="minorHAnsi"/>
                <w:b/>
                <w:bCs/>
                <w:sz w:val="22"/>
                <w:szCs w:val="22"/>
              </w:rPr>
              <w:softHyphen/>
              <w:t>viimiseks</w:t>
            </w:r>
            <w:r w:rsidR="000B0CCD" w:rsidRPr="00DA532F">
              <w:rPr>
                <w:rFonts w:cstheme="minorHAnsi"/>
                <w:sz w:val="22"/>
                <w:szCs w:val="22"/>
              </w:rPr>
              <w:t xml:space="preserve"> Eesti </w:t>
            </w:r>
            <w:r w:rsidR="000B0CCD">
              <w:rPr>
                <w:rFonts w:cstheme="minorHAnsi"/>
                <w:sz w:val="22"/>
                <w:szCs w:val="22"/>
              </w:rPr>
              <w:t>metsamaa</w:t>
            </w:r>
            <w:r w:rsidR="000B0CCD" w:rsidRPr="00DA532F">
              <w:rPr>
                <w:rFonts w:cstheme="minorHAnsi"/>
                <w:sz w:val="22"/>
                <w:szCs w:val="22"/>
              </w:rPr>
              <w:t xml:space="preserve"> muldadel, sh võttes arvesse valimi esinduslikkust ja mõõtmis</w:t>
            </w:r>
            <w:r w:rsidR="000B0CCD">
              <w:rPr>
                <w:rFonts w:cstheme="minorHAnsi"/>
                <w:sz w:val="22"/>
                <w:szCs w:val="22"/>
              </w:rPr>
              <w:softHyphen/>
            </w:r>
            <w:r w:rsidR="000B0CCD" w:rsidRPr="00DA532F">
              <w:rPr>
                <w:rFonts w:cstheme="minorHAnsi"/>
                <w:sz w:val="22"/>
                <w:szCs w:val="22"/>
              </w:rPr>
              <w:t xml:space="preserve">andmete mudelisse sobivust. </w:t>
            </w:r>
            <w:r>
              <w:rPr>
                <w:rFonts w:cstheme="minorHAnsi"/>
                <w:sz w:val="22"/>
                <w:szCs w:val="22"/>
              </w:rPr>
              <w:t>Ruumiline analüüs on vajalik hindamaks mullamudeli jaoks vajalike sisendparameetrite seisu ning saamaks ülevaadet, millistes metsades ja millistel muldadel on seni läbi viidud KHG voogude mõõtmisi</w:t>
            </w:r>
            <w:r w:rsidR="000B0CCD" w:rsidRPr="00DA532F">
              <w:rPr>
                <w:rFonts w:cstheme="minorHAnsi"/>
                <w:sz w:val="22"/>
                <w:szCs w:val="22"/>
              </w:rPr>
              <w:t>;</w:t>
            </w:r>
          </w:p>
          <w:p w14:paraId="1EB2D661" w14:textId="10C05D0D" w:rsidR="001C5564" w:rsidRPr="00DC638A" w:rsidRDefault="001C5564" w:rsidP="001C5564">
            <w:pPr>
              <w:pStyle w:val="Kommentaaritekst"/>
              <w:numPr>
                <w:ilvl w:val="0"/>
                <w:numId w:val="13"/>
              </w:numPr>
              <w:jc w:val="both"/>
              <w:rPr>
                <w:rFonts w:cstheme="minorHAnsi"/>
                <w:sz w:val="22"/>
                <w:szCs w:val="22"/>
              </w:rPr>
            </w:pPr>
            <w:r w:rsidRPr="00DC638A">
              <w:rPr>
                <w:rFonts w:cstheme="minorHAnsi"/>
                <w:sz w:val="22"/>
                <w:szCs w:val="22"/>
              </w:rPr>
              <w:t xml:space="preserve">Esitada </w:t>
            </w:r>
            <w:r w:rsidRPr="00EC4824">
              <w:rPr>
                <w:rFonts w:cstheme="minorHAnsi"/>
                <w:b/>
                <w:bCs/>
                <w:sz w:val="22"/>
                <w:szCs w:val="22"/>
              </w:rPr>
              <w:t>ettepanek sobivaima(te) mudeli(te) kasutuselevõtmiseks riiklikus KHG inventuuris</w:t>
            </w:r>
            <w:r w:rsidRPr="00DC638A">
              <w:rPr>
                <w:rFonts w:cstheme="minorHAnsi"/>
                <w:sz w:val="22"/>
                <w:szCs w:val="22"/>
              </w:rPr>
              <w:t xml:space="preserve">, sh kohandades vajadusel mudeli(te)s kasutatavaid </w:t>
            </w:r>
            <w:r>
              <w:rPr>
                <w:rFonts w:cstheme="minorHAnsi"/>
                <w:sz w:val="22"/>
                <w:szCs w:val="22"/>
              </w:rPr>
              <w:t>parameetreid</w:t>
            </w:r>
            <w:r w:rsidRPr="00DC638A">
              <w:rPr>
                <w:rFonts w:cstheme="minorHAnsi"/>
                <w:sz w:val="22"/>
                <w:szCs w:val="22"/>
              </w:rPr>
              <w:t xml:space="preserve"> Eesti tingimustele vastavaks ning lisades juurde ka vastava seireplaani. </w:t>
            </w:r>
            <w:r>
              <w:rPr>
                <w:rFonts w:cstheme="minorHAnsi"/>
                <w:sz w:val="22"/>
                <w:szCs w:val="22"/>
              </w:rPr>
              <w:t xml:space="preserve">Samuti on olulised seosed teiste mudelitega </w:t>
            </w:r>
            <w:r w:rsidR="008B5AFA">
              <w:rPr>
                <w:rFonts w:cstheme="minorHAnsi"/>
                <w:sz w:val="22"/>
                <w:szCs w:val="22"/>
              </w:rPr>
              <w:t>ja</w:t>
            </w:r>
            <w:r>
              <w:rPr>
                <w:rFonts w:cstheme="minorHAnsi"/>
                <w:sz w:val="22"/>
                <w:szCs w:val="22"/>
              </w:rPr>
              <w:t xml:space="preserve"> nende võimalik koos</w:t>
            </w:r>
            <w:r>
              <w:rPr>
                <w:rFonts w:cstheme="minorHAnsi"/>
                <w:sz w:val="22"/>
                <w:szCs w:val="22"/>
              </w:rPr>
              <w:softHyphen/>
              <w:t xml:space="preserve">kasutamine (nt varise mudel jt). </w:t>
            </w:r>
            <w:r w:rsidR="00F855E9">
              <w:rPr>
                <w:rFonts w:cstheme="minorHAnsi"/>
                <w:sz w:val="22"/>
                <w:szCs w:val="22"/>
              </w:rPr>
              <w:t>Tier 3 metoodikale vastav m</w:t>
            </w:r>
            <w:r>
              <w:rPr>
                <w:rFonts w:cstheme="minorHAnsi"/>
                <w:sz w:val="22"/>
                <w:szCs w:val="22"/>
              </w:rPr>
              <w:t>udel on vajalik CO2 voogude osas</w:t>
            </w:r>
            <w:r w:rsidR="00AC30CA">
              <w:rPr>
                <w:rFonts w:cstheme="minorHAnsi"/>
                <w:sz w:val="22"/>
                <w:szCs w:val="22"/>
              </w:rPr>
              <w:t>,</w:t>
            </w:r>
            <w:r>
              <w:rPr>
                <w:rFonts w:cstheme="minorHAnsi"/>
                <w:sz w:val="22"/>
                <w:szCs w:val="22"/>
              </w:rPr>
              <w:t xml:space="preserve"> teiste KHG-de osas võib </w:t>
            </w:r>
            <w:r w:rsidR="00F855E9">
              <w:rPr>
                <w:rFonts w:cstheme="minorHAnsi"/>
                <w:sz w:val="22"/>
                <w:szCs w:val="22"/>
              </w:rPr>
              <w:t xml:space="preserve">põhjendatud juhul </w:t>
            </w:r>
            <w:r>
              <w:rPr>
                <w:rFonts w:cstheme="minorHAnsi"/>
                <w:sz w:val="22"/>
                <w:szCs w:val="22"/>
              </w:rPr>
              <w:t xml:space="preserve">esitada ettepaneku Tier 2 </w:t>
            </w:r>
            <w:r w:rsidR="00F855E9">
              <w:rPr>
                <w:rFonts w:cstheme="minorHAnsi"/>
                <w:sz w:val="22"/>
                <w:szCs w:val="22"/>
              </w:rPr>
              <w:t xml:space="preserve">metoodikale </w:t>
            </w:r>
            <w:r>
              <w:rPr>
                <w:rFonts w:cstheme="minorHAnsi"/>
                <w:sz w:val="22"/>
                <w:szCs w:val="22"/>
              </w:rPr>
              <w:t>vastava riikliku eriheite</w:t>
            </w:r>
            <w:r>
              <w:rPr>
                <w:rFonts w:cstheme="minorHAnsi"/>
                <w:sz w:val="22"/>
                <w:szCs w:val="22"/>
              </w:rPr>
              <w:softHyphen/>
              <w:t>teguri kasutuselevõtuks;</w:t>
            </w:r>
          </w:p>
          <w:p w14:paraId="26806E7C" w14:textId="7A060960" w:rsidR="00DC638A" w:rsidRPr="005D0BCA" w:rsidRDefault="00DC638A" w:rsidP="00DC638A">
            <w:pPr>
              <w:pStyle w:val="Kommentaaritekst"/>
              <w:numPr>
                <w:ilvl w:val="0"/>
                <w:numId w:val="13"/>
              </w:numPr>
              <w:jc w:val="both"/>
              <w:rPr>
                <w:rFonts w:cstheme="minorHAnsi"/>
                <w:sz w:val="22"/>
                <w:szCs w:val="22"/>
              </w:rPr>
            </w:pPr>
            <w:r w:rsidRPr="005D0BCA">
              <w:rPr>
                <w:rFonts w:cstheme="minorHAnsi"/>
                <w:sz w:val="22"/>
                <w:szCs w:val="22"/>
              </w:rPr>
              <w:t xml:space="preserve">Valitud uurimisaladel viia läbi </w:t>
            </w:r>
            <w:r w:rsidRPr="00EC4824">
              <w:rPr>
                <w:rFonts w:cstheme="minorHAnsi"/>
                <w:b/>
                <w:bCs/>
                <w:sz w:val="22"/>
                <w:szCs w:val="22"/>
              </w:rPr>
              <w:t>täiendavad KHG mõõtmised</w:t>
            </w:r>
            <w:r>
              <w:rPr>
                <w:rFonts w:cstheme="minorHAnsi"/>
                <w:sz w:val="22"/>
                <w:szCs w:val="22"/>
              </w:rPr>
              <w:t xml:space="preserve">, mulla-, varise- </w:t>
            </w:r>
            <w:r w:rsidRPr="00EC4824">
              <w:rPr>
                <w:rFonts w:cstheme="minorHAnsi"/>
                <w:b/>
                <w:bCs/>
                <w:sz w:val="22"/>
                <w:szCs w:val="22"/>
              </w:rPr>
              <w:t>jm analüüsid</w:t>
            </w:r>
            <w:r w:rsidRPr="005D0BCA">
              <w:rPr>
                <w:rFonts w:cstheme="minorHAnsi"/>
                <w:sz w:val="22"/>
                <w:szCs w:val="22"/>
              </w:rPr>
              <w:t xml:space="preserve"> </w:t>
            </w:r>
            <w:r w:rsidR="001C5564">
              <w:rPr>
                <w:rFonts w:cstheme="minorHAnsi"/>
                <w:sz w:val="22"/>
                <w:szCs w:val="22"/>
              </w:rPr>
              <w:t>(vajaduse</w:t>
            </w:r>
            <w:r w:rsidR="001C5564">
              <w:rPr>
                <w:rFonts w:cstheme="minorHAnsi"/>
                <w:sz w:val="22"/>
                <w:szCs w:val="22"/>
              </w:rPr>
              <w:softHyphen/>
              <w:t xml:space="preserve">põhine loetelu täiendavatest analüüsitavatest parameetritest peaks selguma eelmiste etappide käigust) </w:t>
            </w:r>
            <w:r w:rsidR="000E1873">
              <w:rPr>
                <w:rFonts w:cstheme="minorHAnsi"/>
                <w:sz w:val="22"/>
                <w:szCs w:val="22"/>
              </w:rPr>
              <w:t xml:space="preserve">vähemalt </w:t>
            </w:r>
            <w:r>
              <w:rPr>
                <w:rFonts w:cstheme="minorHAnsi"/>
                <w:sz w:val="22"/>
                <w:szCs w:val="22"/>
              </w:rPr>
              <w:t>kahe</w:t>
            </w:r>
            <w:r w:rsidRPr="005D0BCA">
              <w:rPr>
                <w:rFonts w:cstheme="minorHAnsi"/>
                <w:sz w:val="22"/>
                <w:szCs w:val="22"/>
              </w:rPr>
              <w:t xml:space="preserve"> aasta jooksul</w:t>
            </w:r>
            <w:r w:rsidR="000E1873">
              <w:rPr>
                <w:rFonts w:cstheme="minorHAnsi"/>
                <w:sz w:val="22"/>
                <w:szCs w:val="22"/>
              </w:rPr>
              <w:t xml:space="preserve"> (mõõtmisperiood 24 kuud)</w:t>
            </w:r>
            <w:r w:rsidRPr="005D0BCA">
              <w:rPr>
                <w:rFonts w:cstheme="minorHAnsi"/>
                <w:sz w:val="22"/>
                <w:szCs w:val="22"/>
              </w:rPr>
              <w:t>, sh tuleb KHG mõõtmisi teostada vähemalt üks kord kuus. KHG mõõtmisel KHG voogude andmestike kogumiseks ning heite arvutamiseks tuleb kasutada rahvus</w:t>
            </w:r>
            <w:r w:rsidRPr="005D0BCA">
              <w:rPr>
                <w:rFonts w:cstheme="minorHAnsi"/>
                <w:sz w:val="22"/>
                <w:szCs w:val="22"/>
              </w:rPr>
              <w:softHyphen/>
              <w:t>vaheliselt tunnustatud metoodikaid, standardeid või nende puudumisel muid parimate praktikate alusel koostatud juhendeid, mis on mõeldud selle heiteallika jaoks</w:t>
            </w:r>
            <w:r w:rsidR="004161BA">
              <w:rPr>
                <w:rFonts w:cstheme="minorHAnsi"/>
                <w:sz w:val="22"/>
                <w:szCs w:val="22"/>
              </w:rPr>
              <w:t xml:space="preserve"> ning mis on kooskõlas IPCC suunistega riiklike KHG inventuuride kohta</w:t>
            </w:r>
            <w:r w:rsidRPr="005D0BCA">
              <w:rPr>
                <w:rFonts w:cstheme="minorHAnsi"/>
                <w:sz w:val="22"/>
                <w:szCs w:val="22"/>
              </w:rPr>
              <w:t>;</w:t>
            </w:r>
          </w:p>
          <w:p w14:paraId="039DCABE" w14:textId="32A80BE0" w:rsidR="003E5652" w:rsidRPr="005D0BCA" w:rsidRDefault="003E5652" w:rsidP="003E5652">
            <w:pPr>
              <w:pStyle w:val="Kommentaaritekst"/>
              <w:numPr>
                <w:ilvl w:val="0"/>
                <w:numId w:val="13"/>
              </w:numPr>
              <w:jc w:val="both"/>
              <w:rPr>
                <w:rFonts w:cstheme="minorHAnsi"/>
                <w:sz w:val="22"/>
                <w:szCs w:val="22"/>
              </w:rPr>
            </w:pPr>
            <w:r w:rsidRPr="00EC4824">
              <w:rPr>
                <w:rFonts w:cstheme="minorHAnsi"/>
                <w:b/>
                <w:bCs/>
                <w:sz w:val="22"/>
                <w:szCs w:val="22"/>
              </w:rPr>
              <w:t xml:space="preserve">Valideerida </w:t>
            </w:r>
            <w:r w:rsidR="00F855E9">
              <w:rPr>
                <w:rFonts w:cstheme="minorHAnsi"/>
                <w:b/>
                <w:bCs/>
                <w:sz w:val="22"/>
                <w:szCs w:val="22"/>
              </w:rPr>
              <w:t xml:space="preserve">Tier 3 metoodikale vastav(ad) </w:t>
            </w:r>
            <w:r w:rsidRPr="00EC4824">
              <w:rPr>
                <w:rFonts w:cstheme="minorHAnsi"/>
                <w:b/>
                <w:bCs/>
                <w:sz w:val="22"/>
                <w:szCs w:val="22"/>
              </w:rPr>
              <w:t>mudel(id)</w:t>
            </w:r>
            <w:r w:rsidRPr="005D0BCA">
              <w:rPr>
                <w:rFonts w:cstheme="minorHAnsi"/>
                <w:sz w:val="22"/>
                <w:szCs w:val="22"/>
              </w:rPr>
              <w:t xml:space="preserve"> sõltumatute andmetega;</w:t>
            </w:r>
          </w:p>
          <w:p w14:paraId="40E23EB2" w14:textId="7DB4007E" w:rsidR="001C5564" w:rsidRDefault="001C5564" w:rsidP="001C5564">
            <w:pPr>
              <w:pStyle w:val="Kommentaaritekst"/>
              <w:numPr>
                <w:ilvl w:val="0"/>
                <w:numId w:val="13"/>
              </w:numPr>
              <w:jc w:val="both"/>
              <w:rPr>
                <w:rFonts w:cstheme="minorHAnsi"/>
                <w:sz w:val="22"/>
                <w:szCs w:val="22"/>
              </w:rPr>
            </w:pPr>
            <w:r w:rsidRPr="005D0BCA">
              <w:rPr>
                <w:rFonts w:cstheme="minorHAnsi"/>
                <w:sz w:val="22"/>
                <w:szCs w:val="22"/>
              </w:rPr>
              <w:t xml:space="preserve">Koostöös Tellijaga välja valitud mullamudeli(te) </w:t>
            </w:r>
            <w:r w:rsidR="00F855E9">
              <w:rPr>
                <w:rFonts w:cstheme="minorHAnsi"/>
                <w:sz w:val="22"/>
                <w:szCs w:val="22"/>
              </w:rPr>
              <w:t xml:space="preserve">ja Tier 2 eriheitetegurite </w:t>
            </w:r>
            <w:r w:rsidRPr="005D0BCA">
              <w:rPr>
                <w:rFonts w:cstheme="minorHAnsi"/>
                <w:sz w:val="22"/>
                <w:szCs w:val="22"/>
              </w:rPr>
              <w:t>toel viia läbi</w:t>
            </w:r>
            <w:r w:rsidR="00F855E9">
              <w:rPr>
                <w:rFonts w:cstheme="minorHAnsi"/>
                <w:sz w:val="22"/>
                <w:szCs w:val="22"/>
              </w:rPr>
              <w:t xml:space="preserve"> mineraal- ja turvasmuldade</w:t>
            </w:r>
            <w:r w:rsidRPr="005D0BCA">
              <w:rPr>
                <w:rFonts w:cstheme="minorHAnsi"/>
                <w:sz w:val="22"/>
                <w:szCs w:val="22"/>
              </w:rPr>
              <w:t xml:space="preserve"> </w:t>
            </w:r>
            <w:r w:rsidRPr="00EC4824">
              <w:rPr>
                <w:rFonts w:cstheme="minorHAnsi"/>
                <w:b/>
                <w:bCs/>
                <w:sz w:val="22"/>
                <w:szCs w:val="22"/>
              </w:rPr>
              <w:t>KHG voogude ja süsiniku</w:t>
            </w:r>
            <w:r w:rsidRPr="00EC4824">
              <w:rPr>
                <w:rFonts w:cstheme="minorHAnsi"/>
                <w:b/>
                <w:bCs/>
                <w:sz w:val="22"/>
                <w:szCs w:val="22"/>
              </w:rPr>
              <w:softHyphen/>
              <w:t>varu dünaamika hindamised</w:t>
            </w:r>
            <w:r w:rsidRPr="005D0BCA">
              <w:rPr>
                <w:rFonts w:cstheme="minorHAnsi"/>
                <w:sz w:val="22"/>
                <w:szCs w:val="22"/>
              </w:rPr>
              <w:t xml:space="preserve"> riikliku KHG inventuuri </w:t>
            </w:r>
            <w:r>
              <w:rPr>
                <w:rFonts w:cstheme="minorHAnsi"/>
                <w:sz w:val="22"/>
                <w:szCs w:val="22"/>
              </w:rPr>
              <w:t>metsamaa</w:t>
            </w:r>
            <w:r w:rsidRPr="005D0BCA">
              <w:rPr>
                <w:rFonts w:cstheme="minorHAnsi"/>
                <w:sz w:val="22"/>
                <w:szCs w:val="22"/>
              </w:rPr>
              <w:t xml:space="preserve"> kategoorias </w:t>
            </w:r>
            <w:r>
              <w:rPr>
                <w:rFonts w:cstheme="minorHAnsi"/>
                <w:sz w:val="22"/>
                <w:szCs w:val="22"/>
              </w:rPr>
              <w:t xml:space="preserve">vähemalt </w:t>
            </w:r>
            <w:r w:rsidRPr="005D0BCA">
              <w:rPr>
                <w:rFonts w:cstheme="minorHAnsi"/>
                <w:sz w:val="22"/>
                <w:szCs w:val="22"/>
              </w:rPr>
              <w:t>ühe aasta kohta</w:t>
            </w:r>
            <w:r>
              <w:rPr>
                <w:rFonts w:cstheme="minorHAnsi"/>
                <w:sz w:val="22"/>
                <w:szCs w:val="22"/>
              </w:rPr>
              <w:t xml:space="preserve">. </w:t>
            </w:r>
          </w:p>
          <w:p w14:paraId="54752A9C" w14:textId="342AF00F" w:rsidR="00DC638A" w:rsidRPr="00DC638A" w:rsidRDefault="00DC638A" w:rsidP="00DC638A">
            <w:pPr>
              <w:pStyle w:val="Kommentaaritekst"/>
              <w:numPr>
                <w:ilvl w:val="0"/>
                <w:numId w:val="13"/>
              </w:numPr>
              <w:jc w:val="both"/>
              <w:rPr>
                <w:rFonts w:cstheme="minorHAnsi"/>
                <w:sz w:val="22"/>
                <w:szCs w:val="22"/>
              </w:rPr>
            </w:pPr>
            <w:r w:rsidRPr="005D0BCA">
              <w:rPr>
                <w:rFonts w:cstheme="minorHAnsi"/>
                <w:sz w:val="22"/>
                <w:szCs w:val="22"/>
              </w:rPr>
              <w:t xml:space="preserve">Pakkuda välja </w:t>
            </w:r>
            <w:r w:rsidRPr="00EC4824">
              <w:rPr>
                <w:rFonts w:cstheme="minorHAnsi"/>
                <w:b/>
                <w:bCs/>
                <w:sz w:val="22"/>
                <w:szCs w:val="22"/>
              </w:rPr>
              <w:t xml:space="preserve">lahendus </w:t>
            </w:r>
            <w:r w:rsidR="00F855E9">
              <w:rPr>
                <w:rFonts w:cstheme="minorHAnsi"/>
                <w:b/>
                <w:bCs/>
                <w:sz w:val="22"/>
                <w:szCs w:val="22"/>
              </w:rPr>
              <w:t>KHG heitkoguste minevikuprognoosi läbi viimiseks</w:t>
            </w:r>
            <w:r w:rsidRPr="005D0BCA">
              <w:rPr>
                <w:rFonts w:cstheme="minorHAnsi"/>
                <w:sz w:val="22"/>
                <w:szCs w:val="22"/>
              </w:rPr>
              <w:t xml:space="preserve"> (alates 1990.</w:t>
            </w:r>
            <w:r w:rsidR="00F855E9">
              <w:rPr>
                <w:rFonts w:cstheme="minorHAnsi"/>
                <w:sz w:val="22"/>
                <w:szCs w:val="22"/>
              </w:rPr>
              <w:t> </w:t>
            </w:r>
            <w:r w:rsidRPr="005D0BCA">
              <w:rPr>
                <w:rFonts w:cstheme="minorHAnsi"/>
                <w:sz w:val="22"/>
                <w:szCs w:val="22"/>
              </w:rPr>
              <w:t xml:space="preserve">aastast) </w:t>
            </w:r>
            <w:r>
              <w:rPr>
                <w:rFonts w:cstheme="minorHAnsi"/>
                <w:sz w:val="22"/>
                <w:szCs w:val="22"/>
              </w:rPr>
              <w:t>metsamaa</w:t>
            </w:r>
            <w:r w:rsidRPr="005D0BCA">
              <w:rPr>
                <w:rFonts w:cstheme="minorHAnsi"/>
                <w:sz w:val="22"/>
                <w:szCs w:val="22"/>
              </w:rPr>
              <w:t xml:space="preserve"> mineraal- ja turvas</w:t>
            </w:r>
            <w:r>
              <w:rPr>
                <w:rFonts w:cstheme="minorHAnsi"/>
                <w:sz w:val="22"/>
                <w:szCs w:val="22"/>
              </w:rPr>
              <w:softHyphen/>
            </w:r>
            <w:r w:rsidRPr="005D0BCA">
              <w:rPr>
                <w:rFonts w:cstheme="minorHAnsi"/>
                <w:sz w:val="22"/>
                <w:szCs w:val="22"/>
              </w:rPr>
              <w:t>muldade</w:t>
            </w:r>
            <w:r w:rsidR="00F855E9">
              <w:rPr>
                <w:rFonts w:cstheme="minorHAnsi"/>
                <w:sz w:val="22"/>
                <w:szCs w:val="22"/>
              </w:rPr>
              <w:t>l</w:t>
            </w:r>
            <w:r w:rsidRPr="005D0BCA">
              <w:rPr>
                <w:rFonts w:cstheme="minorHAnsi"/>
                <w:sz w:val="22"/>
                <w:szCs w:val="22"/>
              </w:rPr>
              <w:t>.</w:t>
            </w:r>
          </w:p>
          <w:p w14:paraId="39955687" w14:textId="6E8D01AC" w:rsidR="00777D20" w:rsidRPr="00113BAF" w:rsidRDefault="00777D20" w:rsidP="000C5500">
            <w:pPr>
              <w:jc w:val="both"/>
              <w:rPr>
                <w:rFonts w:cstheme="minorHAnsi"/>
              </w:rPr>
            </w:pPr>
          </w:p>
        </w:tc>
      </w:tr>
      <w:tr w:rsidR="00205038" w:rsidRPr="003B77EC" w14:paraId="213EFCA3" w14:textId="77777777" w:rsidTr="002E62AA">
        <w:tc>
          <w:tcPr>
            <w:tcW w:w="9062" w:type="dxa"/>
            <w:shd w:val="clear" w:color="auto" w:fill="D9D9D9" w:themeFill="background1" w:themeFillShade="D9"/>
          </w:tcPr>
          <w:p w14:paraId="007EF30D" w14:textId="5C87AD32" w:rsidR="00205038" w:rsidRPr="003B77EC" w:rsidRDefault="00205038" w:rsidP="00205038">
            <w:pPr>
              <w:rPr>
                <w:rFonts w:ascii="Times New Roman" w:hAnsi="Times New Roman" w:cs="Times New Roman"/>
                <w:b/>
                <w:sz w:val="24"/>
                <w:szCs w:val="24"/>
              </w:rPr>
            </w:pPr>
            <w:r w:rsidRPr="003B77EC">
              <w:rPr>
                <w:rFonts w:ascii="Times New Roman" w:hAnsi="Times New Roman" w:cs="Times New Roman"/>
                <w:b/>
                <w:sz w:val="24"/>
                <w:szCs w:val="24"/>
              </w:rPr>
              <w:t>Tehnilised nõuded</w:t>
            </w:r>
          </w:p>
        </w:tc>
      </w:tr>
      <w:tr w:rsidR="00EA35EF" w:rsidRPr="003B77EC" w14:paraId="0304EF13" w14:textId="77777777" w:rsidTr="006F31CC">
        <w:trPr>
          <w:trHeight w:val="705"/>
        </w:trPr>
        <w:tc>
          <w:tcPr>
            <w:tcW w:w="9062" w:type="dxa"/>
            <w:shd w:val="clear" w:color="auto" w:fill="auto"/>
          </w:tcPr>
          <w:p w14:paraId="57C8A546" w14:textId="77777777" w:rsidR="00AE382F" w:rsidRPr="005D0BCA" w:rsidRDefault="00AE382F" w:rsidP="00AE382F">
            <w:pPr>
              <w:jc w:val="both"/>
              <w:rPr>
                <w:rFonts w:cstheme="minorHAnsi"/>
                <w:b/>
              </w:rPr>
            </w:pPr>
            <w:r w:rsidRPr="005D0BCA">
              <w:rPr>
                <w:rFonts w:cstheme="minorHAnsi"/>
                <w:b/>
              </w:rPr>
              <w:t>Nõuded pakkujale</w:t>
            </w:r>
          </w:p>
          <w:p w14:paraId="47795CF3" w14:textId="71609AE3" w:rsidR="00AE382F" w:rsidRPr="005D0BCA" w:rsidRDefault="00AE382F" w:rsidP="00AE382F">
            <w:pPr>
              <w:jc w:val="both"/>
              <w:rPr>
                <w:rFonts w:cstheme="minorHAnsi"/>
              </w:rPr>
            </w:pPr>
            <w:r w:rsidRPr="005D0BCA">
              <w:rPr>
                <w:rFonts w:cstheme="minorHAnsi"/>
              </w:rPr>
              <w:t xml:space="preserve">Konkursil võib </w:t>
            </w:r>
            <w:r w:rsidR="006D00DF">
              <w:rPr>
                <w:rFonts w:cstheme="minorHAnsi"/>
              </w:rPr>
              <w:t xml:space="preserve">osaleda </w:t>
            </w:r>
            <w:r w:rsidRPr="005D0BCA">
              <w:rPr>
                <w:rFonts w:cstheme="minorHAnsi"/>
              </w:rPr>
              <w:t>positiivselt evalveeritud teadus- ja arendus</w:t>
            </w:r>
            <w:r>
              <w:rPr>
                <w:rFonts w:cstheme="minorHAnsi"/>
              </w:rPr>
              <w:softHyphen/>
            </w:r>
            <w:r w:rsidRPr="005D0BCA">
              <w:rPr>
                <w:rFonts w:cstheme="minorHAnsi"/>
              </w:rPr>
              <w:t>asutus</w:t>
            </w:r>
            <w:r w:rsidR="006D00DF">
              <w:rPr>
                <w:rFonts w:cstheme="minorHAnsi"/>
              </w:rPr>
              <w:t xml:space="preserve"> või </w:t>
            </w:r>
            <w:r w:rsidR="006D00DF" w:rsidRPr="005D0BCA">
              <w:rPr>
                <w:rFonts w:cstheme="minorHAnsi"/>
              </w:rPr>
              <w:t xml:space="preserve">vähemalt kahe asutuse teadus- ja arendustöötajatest moodustatud konsortsium. </w:t>
            </w:r>
            <w:r w:rsidR="006D00DF">
              <w:rPr>
                <w:rFonts w:cstheme="minorHAnsi"/>
              </w:rPr>
              <w:t>Viimasel juhul peab k</w:t>
            </w:r>
            <w:r w:rsidR="006D00DF" w:rsidRPr="005D0BCA">
              <w:rPr>
                <w:rFonts w:cstheme="minorHAnsi"/>
              </w:rPr>
              <w:t>onsortsiumi juht</w:t>
            </w:r>
            <w:r w:rsidR="00F855E9">
              <w:rPr>
                <w:rFonts w:cstheme="minorHAnsi"/>
              </w:rPr>
              <w:softHyphen/>
            </w:r>
            <w:r w:rsidR="006D00DF" w:rsidRPr="005D0BCA">
              <w:rPr>
                <w:rFonts w:cstheme="minorHAnsi"/>
              </w:rPr>
              <w:t>partner peab olema</w:t>
            </w:r>
            <w:r w:rsidR="006D00DF">
              <w:rPr>
                <w:rFonts w:cstheme="minorHAnsi"/>
              </w:rPr>
              <w:t xml:space="preserve"> </w:t>
            </w:r>
            <w:r w:rsidR="006D00DF" w:rsidRPr="005D0BCA">
              <w:rPr>
                <w:rFonts w:cstheme="minorHAnsi"/>
              </w:rPr>
              <w:t>positiivselt evalveeritud teadus- ja arendus</w:t>
            </w:r>
            <w:r w:rsidR="006D00DF">
              <w:rPr>
                <w:rFonts w:cstheme="minorHAnsi"/>
              </w:rPr>
              <w:softHyphen/>
            </w:r>
            <w:r w:rsidR="006D00DF" w:rsidRPr="005D0BCA">
              <w:rPr>
                <w:rFonts w:cstheme="minorHAnsi"/>
              </w:rPr>
              <w:t>asutus</w:t>
            </w:r>
            <w:r w:rsidR="006D00DF">
              <w:rPr>
                <w:rFonts w:cstheme="minorHAnsi"/>
              </w:rPr>
              <w:t>.</w:t>
            </w:r>
          </w:p>
          <w:p w14:paraId="15EFAD0C" w14:textId="77777777" w:rsidR="00AE382F" w:rsidRPr="005D0BCA" w:rsidRDefault="00AE382F" w:rsidP="00AE382F">
            <w:pPr>
              <w:jc w:val="both"/>
              <w:rPr>
                <w:rFonts w:cstheme="minorHAnsi"/>
              </w:rPr>
            </w:pPr>
          </w:p>
          <w:p w14:paraId="26CE65E0" w14:textId="77777777" w:rsidR="00AE382F" w:rsidRPr="005D0BCA" w:rsidRDefault="00AE382F" w:rsidP="00AE382F">
            <w:pPr>
              <w:jc w:val="both"/>
              <w:rPr>
                <w:rFonts w:cstheme="minorHAnsi"/>
                <w:b/>
                <w:bCs/>
              </w:rPr>
            </w:pPr>
            <w:r w:rsidRPr="005D0BCA">
              <w:rPr>
                <w:rFonts w:cstheme="minorHAnsi"/>
                <w:b/>
                <w:bCs/>
              </w:rPr>
              <w:t>Uuringu kestus ja eelarve</w:t>
            </w:r>
          </w:p>
          <w:p w14:paraId="572704E9" w14:textId="31EA0B6C" w:rsidR="00AE382F" w:rsidRPr="005D0BCA" w:rsidRDefault="00AE382F" w:rsidP="00AE382F">
            <w:pPr>
              <w:pBdr>
                <w:top w:val="nil"/>
                <w:left w:val="nil"/>
                <w:bottom w:val="nil"/>
                <w:right w:val="nil"/>
                <w:between w:val="nil"/>
              </w:pBdr>
              <w:jc w:val="both"/>
              <w:rPr>
                <w:rFonts w:cstheme="minorHAnsi"/>
              </w:rPr>
            </w:pPr>
            <w:r w:rsidRPr="00AE382F">
              <w:rPr>
                <w:rFonts w:cstheme="minorHAnsi"/>
                <w:color w:val="000000"/>
              </w:rPr>
              <w:t xml:space="preserve">Uuringu </w:t>
            </w:r>
            <w:r w:rsidRPr="00AE382F">
              <w:rPr>
                <w:rFonts w:cstheme="minorHAnsi"/>
                <w:b/>
                <w:bCs/>
                <w:color w:val="000000"/>
              </w:rPr>
              <w:t xml:space="preserve">lõppkuupäev on </w:t>
            </w:r>
            <w:r>
              <w:rPr>
                <w:rFonts w:cstheme="minorHAnsi"/>
                <w:b/>
                <w:bCs/>
                <w:color w:val="000000"/>
              </w:rPr>
              <w:t>30</w:t>
            </w:r>
            <w:r w:rsidRPr="00AE382F">
              <w:rPr>
                <w:rFonts w:cstheme="minorHAnsi"/>
                <w:b/>
                <w:bCs/>
                <w:color w:val="000000"/>
              </w:rPr>
              <w:t>.1</w:t>
            </w:r>
            <w:r w:rsidR="000E1492">
              <w:rPr>
                <w:rFonts w:cstheme="minorHAnsi"/>
                <w:b/>
                <w:bCs/>
                <w:color w:val="000000"/>
              </w:rPr>
              <w:t>0</w:t>
            </w:r>
            <w:r w:rsidRPr="00AE382F">
              <w:rPr>
                <w:rFonts w:cstheme="minorHAnsi"/>
                <w:b/>
                <w:bCs/>
                <w:color w:val="000000"/>
              </w:rPr>
              <w:t>.2027</w:t>
            </w:r>
            <w:r w:rsidRPr="00AE382F">
              <w:rPr>
                <w:rFonts w:cstheme="minorHAnsi"/>
                <w:color w:val="000000"/>
              </w:rPr>
              <w:t xml:space="preserve"> ja uuringu eelarve </w:t>
            </w:r>
            <w:r w:rsidRPr="00AE382F">
              <w:rPr>
                <w:rFonts w:cstheme="minorHAnsi"/>
                <w:b/>
                <w:bCs/>
                <w:color w:val="000000"/>
              </w:rPr>
              <w:t>koos käibemaksuga</w:t>
            </w:r>
            <w:r w:rsidRPr="00AE382F">
              <w:rPr>
                <w:rFonts w:cstheme="minorHAnsi"/>
                <w:color w:val="000000"/>
              </w:rPr>
              <w:t xml:space="preserve"> on </w:t>
            </w:r>
            <w:r w:rsidRPr="00AE382F">
              <w:rPr>
                <w:rFonts w:cstheme="minorHAnsi"/>
                <w:b/>
                <w:color w:val="000000"/>
              </w:rPr>
              <w:t xml:space="preserve">kuni </w:t>
            </w:r>
            <w:r w:rsidR="00C35F7A">
              <w:rPr>
                <w:rFonts w:cstheme="minorHAnsi"/>
                <w:b/>
                <w:color w:val="000000"/>
              </w:rPr>
              <w:t>700 000</w:t>
            </w:r>
            <w:r w:rsidRPr="00AE382F">
              <w:rPr>
                <w:rFonts w:cstheme="minorHAnsi"/>
                <w:b/>
                <w:color w:val="000000"/>
              </w:rPr>
              <w:t xml:space="preserve"> eurot</w:t>
            </w:r>
            <w:r w:rsidRPr="00AE382F">
              <w:rPr>
                <w:rFonts w:cstheme="minorHAnsi"/>
                <w:color w:val="000000"/>
              </w:rPr>
              <w:t>.</w:t>
            </w:r>
            <w:r w:rsidRPr="005D0BCA">
              <w:rPr>
                <w:rFonts w:cstheme="minorHAnsi"/>
                <w:color w:val="000000"/>
              </w:rPr>
              <w:t xml:space="preserve"> </w:t>
            </w:r>
          </w:p>
          <w:p w14:paraId="0EF443E0" w14:textId="77777777" w:rsidR="00AE382F" w:rsidRPr="005D0BCA" w:rsidRDefault="00AE382F" w:rsidP="00AE382F">
            <w:pPr>
              <w:jc w:val="both"/>
              <w:rPr>
                <w:rFonts w:cstheme="minorHAnsi"/>
              </w:rPr>
            </w:pPr>
          </w:p>
          <w:p w14:paraId="4BDCAB10" w14:textId="77777777" w:rsidR="00AE382F" w:rsidRPr="005D0BCA" w:rsidRDefault="00AE382F" w:rsidP="00AE382F">
            <w:pPr>
              <w:jc w:val="both"/>
              <w:rPr>
                <w:rFonts w:cstheme="minorHAnsi"/>
                <w:b/>
              </w:rPr>
            </w:pPr>
            <w:r w:rsidRPr="005D0BCA">
              <w:rPr>
                <w:rFonts w:cstheme="minorHAnsi"/>
                <w:b/>
              </w:rPr>
              <w:t>Taotlusvooru tähtajad</w:t>
            </w:r>
          </w:p>
          <w:p w14:paraId="6B9B519D" w14:textId="5D494871" w:rsidR="00AE382F" w:rsidRPr="005D0BCA" w:rsidRDefault="00AE382F" w:rsidP="00AE382F">
            <w:pPr>
              <w:jc w:val="both"/>
              <w:rPr>
                <w:rFonts w:cstheme="minorHAnsi"/>
              </w:rPr>
            </w:pPr>
            <w:r w:rsidRPr="005D0BCA">
              <w:rPr>
                <w:rFonts w:cstheme="minorHAnsi"/>
              </w:rPr>
              <w:t xml:space="preserve">Konkursi taotlusvoor korraldatakse Eesti teadusinfosüsteemis (edaspidi: </w:t>
            </w:r>
            <w:r w:rsidRPr="005D0BCA">
              <w:rPr>
                <w:rFonts w:cstheme="minorHAnsi"/>
                <w:i/>
                <w:iCs/>
              </w:rPr>
              <w:t>ETIS</w:t>
            </w:r>
            <w:r w:rsidRPr="005D0BCA">
              <w:rPr>
                <w:rFonts w:cstheme="minorHAnsi"/>
              </w:rPr>
              <w:t>). Uuringu</w:t>
            </w:r>
            <w:r w:rsidR="00957E88">
              <w:rPr>
                <w:rFonts w:cstheme="minorHAnsi"/>
              </w:rPr>
              <w:t xml:space="preserve"> </w:t>
            </w:r>
            <w:r w:rsidRPr="005D0BCA">
              <w:rPr>
                <w:rFonts w:cstheme="minorHAnsi"/>
              </w:rPr>
              <w:t>ettepanek tuleb esitada eesti keeles.</w:t>
            </w:r>
          </w:p>
          <w:p w14:paraId="4096D4D8" w14:textId="0CCD6502" w:rsidR="00AE382F" w:rsidRPr="0044452C" w:rsidRDefault="00AE382F" w:rsidP="00AE382F">
            <w:pPr>
              <w:jc w:val="both"/>
              <w:rPr>
                <w:rFonts w:cstheme="minorHAnsi"/>
              </w:rPr>
            </w:pPr>
            <w:r w:rsidRPr="0044452C">
              <w:rPr>
                <w:rFonts w:cstheme="minorHAnsi"/>
              </w:rPr>
              <w:t>Konkurs</w:t>
            </w:r>
            <w:r w:rsidR="00DD1B71">
              <w:rPr>
                <w:rFonts w:cstheme="minorHAnsi"/>
              </w:rPr>
              <w:t>s jääb avatuks kuni 2</w:t>
            </w:r>
            <w:r w:rsidR="009345BD">
              <w:rPr>
                <w:rFonts w:cstheme="minorHAnsi"/>
              </w:rPr>
              <w:t>7</w:t>
            </w:r>
            <w:r w:rsidR="00DD1B71">
              <w:rPr>
                <w:rFonts w:cstheme="minorHAnsi"/>
              </w:rPr>
              <w:t>.02.2025 kell 17:00</w:t>
            </w:r>
            <w:r w:rsidRPr="0044452C">
              <w:rPr>
                <w:rFonts w:cstheme="minorHAnsi"/>
                <w:b/>
                <w:bCs/>
              </w:rPr>
              <w:t>.</w:t>
            </w:r>
          </w:p>
          <w:p w14:paraId="75703004" w14:textId="77777777" w:rsidR="00AE382F" w:rsidRPr="005D0BCA" w:rsidRDefault="00AE382F" w:rsidP="00AE382F">
            <w:pPr>
              <w:jc w:val="both"/>
              <w:rPr>
                <w:rFonts w:cstheme="minorHAnsi"/>
              </w:rPr>
            </w:pPr>
          </w:p>
          <w:p w14:paraId="11187CBC" w14:textId="77777777" w:rsidR="00C35F7A" w:rsidRPr="005D0BCA" w:rsidRDefault="00AE382F" w:rsidP="00C35F7A">
            <w:pPr>
              <w:jc w:val="both"/>
              <w:rPr>
                <w:rFonts w:cstheme="minorHAnsi"/>
                <w:b/>
              </w:rPr>
            </w:pPr>
            <w:r w:rsidRPr="005D0BCA">
              <w:rPr>
                <w:rFonts w:cstheme="minorHAnsi"/>
                <w:b/>
              </w:rPr>
              <w:t>Juhtpartner ja konsortsiumi juht</w:t>
            </w:r>
            <w:r w:rsidR="00C35F7A">
              <w:rPr>
                <w:rFonts w:cstheme="minorHAnsi"/>
                <w:b/>
              </w:rPr>
              <w:t xml:space="preserve"> (juhul, kui taotlejaks on kahest või enamast asutusest koosnev konsortsium)</w:t>
            </w:r>
          </w:p>
          <w:p w14:paraId="6BEF0994" w14:textId="7375E733" w:rsidR="00AE382F" w:rsidRPr="005D0BCA" w:rsidRDefault="00AE382F" w:rsidP="00AE382F">
            <w:pPr>
              <w:jc w:val="both"/>
              <w:rPr>
                <w:rFonts w:cstheme="minorHAnsi"/>
                <w:b/>
              </w:rPr>
            </w:pPr>
          </w:p>
          <w:p w14:paraId="087A9C92" w14:textId="2A60B665" w:rsidR="00C35F7A" w:rsidRPr="005D0BCA" w:rsidRDefault="00AE382F" w:rsidP="00C35F7A">
            <w:pPr>
              <w:jc w:val="both"/>
              <w:rPr>
                <w:rFonts w:cstheme="minorHAnsi"/>
              </w:rPr>
            </w:pPr>
            <w:r w:rsidRPr="005D0BCA">
              <w:rPr>
                <w:rFonts w:cstheme="minorHAnsi"/>
              </w:rPr>
              <w:t>Konsortsiumi liikmed peavad endi seast valima juhtpartneri (juriidiline isik), kes esindab konsortsiumi uuringuettepaneku esitamisel, osaleb uuringu täitmises peatöövõtjana ning kellega Keskkonnaagentuur (edaspidi ka: tellija) sõlmib teenuse osutamise lepingu.</w:t>
            </w:r>
            <w:r w:rsidR="00C35F7A">
              <w:rPr>
                <w:rFonts w:cstheme="minorHAnsi"/>
              </w:rPr>
              <w:t xml:space="preserve"> Juhul, kui taotlejaks on üks asutus, peab see asutus määrama inimese, kes vastutab projekti sisulise täideviimise eest (hiljem nimetatud kui konsortsiumi juht). </w:t>
            </w:r>
          </w:p>
          <w:p w14:paraId="4C4F63FB" w14:textId="62D54263" w:rsidR="00AE382F" w:rsidRPr="005D0BCA" w:rsidRDefault="00AE382F" w:rsidP="00AE382F">
            <w:pPr>
              <w:jc w:val="both"/>
              <w:rPr>
                <w:rFonts w:cstheme="minorHAnsi"/>
              </w:rPr>
            </w:pPr>
          </w:p>
          <w:p w14:paraId="1CBB7FB5" w14:textId="356272B6" w:rsidR="00AE382F" w:rsidRPr="005D0BCA" w:rsidRDefault="00AE382F" w:rsidP="00AE382F">
            <w:pPr>
              <w:jc w:val="both"/>
              <w:rPr>
                <w:rFonts w:cstheme="minorHAnsi"/>
              </w:rPr>
            </w:pPr>
            <w:r w:rsidRPr="005D0BCA">
              <w:rPr>
                <w:rFonts w:cstheme="minorHAnsi"/>
              </w:rPr>
              <w:t>Konsortsiumi juhil (füüsiline isik) peab olema doktorikraad loodus</w:t>
            </w:r>
            <w:r w:rsidR="00DD1B71">
              <w:rPr>
                <w:rFonts w:cstheme="minorHAnsi"/>
              </w:rPr>
              <w:t>- või põllumajandus</w:t>
            </w:r>
            <w:r w:rsidRPr="005D0BCA">
              <w:rPr>
                <w:rFonts w:cstheme="minorHAnsi"/>
              </w:rPr>
              <w:t>teaduste valdkonnas.</w:t>
            </w:r>
          </w:p>
          <w:p w14:paraId="601F0F54" w14:textId="77777777" w:rsidR="00AE382F" w:rsidRPr="005D0BCA" w:rsidRDefault="00AE382F" w:rsidP="00AE382F">
            <w:pPr>
              <w:jc w:val="both"/>
              <w:rPr>
                <w:rFonts w:cstheme="minorHAnsi"/>
              </w:rPr>
            </w:pPr>
          </w:p>
          <w:p w14:paraId="229BFBC9" w14:textId="77777777" w:rsidR="00AE382F" w:rsidRPr="005D0BCA" w:rsidRDefault="00AE382F" w:rsidP="00AE382F">
            <w:pPr>
              <w:jc w:val="both"/>
              <w:rPr>
                <w:rFonts w:cstheme="minorHAnsi"/>
                <w:b/>
              </w:rPr>
            </w:pPr>
            <w:r w:rsidRPr="005D0BCA">
              <w:rPr>
                <w:rFonts w:cstheme="minorHAnsi"/>
                <w:b/>
              </w:rPr>
              <w:t>Meeskond ja uurimisrühm</w:t>
            </w:r>
          </w:p>
          <w:p w14:paraId="55170192" w14:textId="74BE35C4" w:rsidR="00AE382F" w:rsidRPr="005D0BCA" w:rsidRDefault="00C35F7A" w:rsidP="00AE382F">
            <w:pPr>
              <w:jc w:val="both"/>
              <w:rPr>
                <w:rFonts w:cstheme="minorHAnsi"/>
              </w:rPr>
            </w:pPr>
            <w:r>
              <w:rPr>
                <w:rFonts w:cstheme="minorHAnsi"/>
                <w:b/>
              </w:rPr>
              <w:t>Juhul, kui taotlejaks on kahest või enamast asutusest koosnev konsortsium, peab k</w:t>
            </w:r>
            <w:r w:rsidR="00AE382F" w:rsidRPr="005D0BCA">
              <w:rPr>
                <w:rFonts w:cstheme="minorHAnsi"/>
                <w:b/>
              </w:rPr>
              <w:t>onsortsiumi juht</w:t>
            </w:r>
            <w:r w:rsidR="00AE382F" w:rsidRPr="005D0BCA">
              <w:rPr>
                <w:rFonts w:cstheme="minorHAnsi"/>
              </w:rPr>
              <w:t xml:space="preserve"> projekti elluviimiseks kokku panema meeskonna, mis koosneb vähemalt kahe erineva teadus-arendusasutuse uurimisrühmast. </w:t>
            </w:r>
            <w:r w:rsidRPr="003F3FD7">
              <w:rPr>
                <w:rFonts w:cstheme="minorHAnsi"/>
                <w:b/>
                <w:bCs/>
              </w:rPr>
              <w:t>Kui taotlejaks on üks asutus, peab konsortsiumi juht kokku panema meeskonna oma asutuse ja vajadusel asutusevälistest ekspertidest</w:t>
            </w:r>
            <w:r>
              <w:rPr>
                <w:rFonts w:cstheme="minorHAnsi"/>
              </w:rPr>
              <w:t>.</w:t>
            </w:r>
          </w:p>
          <w:p w14:paraId="6EA416AD" w14:textId="77777777" w:rsidR="00AE382F" w:rsidRPr="005D0BCA" w:rsidRDefault="00AE382F" w:rsidP="00AE382F">
            <w:pPr>
              <w:jc w:val="both"/>
              <w:rPr>
                <w:rFonts w:cstheme="minorHAnsi"/>
              </w:rPr>
            </w:pPr>
            <w:r w:rsidRPr="005D0BCA">
              <w:rPr>
                <w:rFonts w:cstheme="minorHAnsi"/>
              </w:rPr>
              <w:t xml:space="preserve">Konsortsiumi juht määrab </w:t>
            </w:r>
            <w:r w:rsidRPr="005D0BCA">
              <w:rPr>
                <w:rFonts w:cstheme="minorHAnsi"/>
                <w:b/>
              </w:rPr>
              <w:t>projektijuhi</w:t>
            </w:r>
            <w:r w:rsidRPr="005D0BCA">
              <w:rPr>
                <w:rFonts w:cstheme="minorHAnsi"/>
              </w:rPr>
              <w:t>, kes vastutab uurimisrühma(de) liikmete omavahelise suhtlemise, uuringu ajakavast kinnipidamise, tellijaga suhtlemise ning korrektse dokumentatsiooni eest ning tema kaudu toimub suhtlemine tellija ja tööde läbiviija vahel. Projektijuhil peab olema seonduval alal kõrgharidus, soovitavalt teaduskraad ning eelnev töökogemus sarnase sisu ja ajakavaga projektide juhtimise alal.</w:t>
            </w:r>
          </w:p>
          <w:p w14:paraId="2806E67B" w14:textId="588BBB39" w:rsidR="00AE382F" w:rsidRPr="005D0BCA" w:rsidRDefault="00AE382F" w:rsidP="00AE382F">
            <w:pPr>
              <w:jc w:val="both"/>
              <w:rPr>
                <w:rFonts w:cstheme="minorHAnsi"/>
              </w:rPr>
            </w:pPr>
            <w:r w:rsidRPr="005D0BCA">
              <w:rPr>
                <w:rFonts w:cstheme="minorHAnsi"/>
                <w:b/>
              </w:rPr>
              <w:t>Konsortsiumisse</w:t>
            </w:r>
            <w:r w:rsidRPr="005D0BCA">
              <w:rPr>
                <w:rFonts w:cstheme="minorHAnsi"/>
              </w:rPr>
              <w:t xml:space="preserve"> peavad kuuluma loodus</w:t>
            </w:r>
            <w:r w:rsidR="00DD1B71">
              <w:rPr>
                <w:rFonts w:cstheme="minorHAnsi"/>
              </w:rPr>
              <w:t>- või põllumajandus</w:t>
            </w:r>
            <w:r w:rsidRPr="005D0BCA">
              <w:rPr>
                <w:rFonts w:cstheme="minorHAnsi"/>
              </w:rPr>
              <w:t>teaduste valdkonna doktorikraadiga teadlased või viie</w:t>
            </w:r>
            <w:r w:rsidRPr="005D0BCA">
              <w:rPr>
                <w:rFonts w:cstheme="minorHAnsi"/>
              </w:rPr>
              <w:softHyphen/>
              <w:t>aastase uuringu teemaga seotud valdkonnas teadustöö kogemusega teadlased, kes on soovitavalt avaldanud viimase kolme aasta jooksul vähemalt ühe uuringu teemaga seonduva teadus</w:t>
            </w:r>
            <w:r w:rsidRPr="005D0BCA">
              <w:rPr>
                <w:rFonts w:cstheme="minorHAnsi"/>
              </w:rPr>
              <w:softHyphen/>
              <w:t>artikli rahvus</w:t>
            </w:r>
            <w:r w:rsidRPr="005D0BCA">
              <w:rPr>
                <w:rFonts w:cstheme="minorHAnsi"/>
              </w:rPr>
              <w:softHyphen/>
              <w:t>vaheliselt eelretsenseeritud teadusajakirjas. Konsortsiumisse peavad kuuluma Eesti konteksti tundvad teadlased, st nad peavad olema avaldanud vähemalt ühe teadusartikli rahvus</w:t>
            </w:r>
            <w:r w:rsidRPr="005D0BCA">
              <w:rPr>
                <w:rFonts w:cstheme="minorHAnsi"/>
              </w:rPr>
              <w:softHyphen/>
              <w:t xml:space="preserve">vaheliselt eelretsenseeritud teadusajakirjas, mis seostub Eesti </w:t>
            </w:r>
            <w:r>
              <w:rPr>
                <w:rFonts w:cstheme="minorHAnsi"/>
              </w:rPr>
              <w:t>metsade süsinikubilansi, metsamuldade</w:t>
            </w:r>
            <w:r w:rsidRPr="005D0BCA">
              <w:rPr>
                <w:rFonts w:cstheme="minorHAnsi"/>
              </w:rPr>
              <w:t xml:space="preserve"> ja </w:t>
            </w:r>
            <w:r>
              <w:rPr>
                <w:rFonts w:cstheme="minorHAnsi"/>
              </w:rPr>
              <w:t xml:space="preserve">metsaökosüsteemidest </w:t>
            </w:r>
            <w:r w:rsidRPr="005D0BCA">
              <w:rPr>
                <w:rFonts w:cstheme="minorHAnsi"/>
              </w:rPr>
              <w:t xml:space="preserve">KHG voogude hindamise temaatikaga. </w:t>
            </w:r>
          </w:p>
          <w:p w14:paraId="2BC4CB6F" w14:textId="77777777" w:rsidR="00AE382F" w:rsidRPr="005D0BCA" w:rsidRDefault="00AE382F" w:rsidP="00AE382F">
            <w:pPr>
              <w:jc w:val="both"/>
              <w:rPr>
                <w:rFonts w:cstheme="minorHAnsi"/>
              </w:rPr>
            </w:pPr>
            <w:r w:rsidRPr="005D0BCA">
              <w:rPr>
                <w:rFonts w:cstheme="minorHAnsi"/>
              </w:rPr>
              <w:t>Uuringuettepanekus tuleb välja tuua konsortsiumi koosseisu kirjeldus koos rollide jaotuse ja töö</w:t>
            </w:r>
            <w:r w:rsidRPr="005D0BCA">
              <w:rPr>
                <w:rFonts w:cstheme="minorHAnsi"/>
              </w:rPr>
              <w:softHyphen/>
              <w:t>koormusega projektis (põhiliikmete (konsortsiumi juht, projektijuht, muud täitjad, välja arvatud kraadi</w:t>
            </w:r>
            <w:r>
              <w:rPr>
                <w:rFonts w:cstheme="minorHAnsi"/>
              </w:rPr>
              <w:softHyphen/>
            </w:r>
            <w:r w:rsidRPr="005D0BCA">
              <w:rPr>
                <w:rFonts w:cstheme="minorHAnsi"/>
              </w:rPr>
              <w:t xml:space="preserve">õppurid ja tudengid) kohta esitatakse CV või viide ETISes asuvale CV-le). </w:t>
            </w:r>
          </w:p>
          <w:p w14:paraId="37BD377E" w14:textId="77777777" w:rsidR="00AE382F" w:rsidRPr="005D0BCA" w:rsidRDefault="00AE382F" w:rsidP="00AE382F">
            <w:pPr>
              <w:jc w:val="both"/>
              <w:rPr>
                <w:rFonts w:cstheme="minorHAnsi"/>
              </w:rPr>
            </w:pPr>
            <w:r w:rsidRPr="005D0BCA">
              <w:rPr>
                <w:rFonts w:cstheme="minorHAnsi"/>
              </w:rPr>
              <w:t xml:space="preserve">Konsortsiumisse peavad kuuluma eksperdid, kellel on vähemalt järgmised pädevused: KHG (CO2, CH4, N2O) voogude mõõtmised, mullastiku ja selle näitajate väliuuringud, GIS-analüüsid, mudeldamine ja kaugseire, KHG voogude ja mullastiku muud uuringud. </w:t>
            </w:r>
            <w:r w:rsidRPr="005D0BCA">
              <w:rPr>
                <w:rStyle w:val="cf01"/>
                <w:rFonts w:asciiTheme="minorHAnsi" w:hAnsiTheme="minorHAnsi" w:cstheme="minorHAnsi"/>
                <w:b w:val="0"/>
                <w:bCs w:val="0"/>
                <w:sz w:val="22"/>
                <w:szCs w:val="22"/>
              </w:rPr>
              <w:t>Uuringuettepanekus kirjeldatakse, kuidas meeskond uurimisküsimused katab, pädevusi kontrollitakse CV-de alusel.</w:t>
            </w:r>
          </w:p>
          <w:p w14:paraId="7106B244" w14:textId="77777777" w:rsidR="00AE382F" w:rsidRPr="005D0BCA" w:rsidRDefault="00AE382F" w:rsidP="00AE382F">
            <w:pPr>
              <w:jc w:val="both"/>
              <w:rPr>
                <w:rFonts w:cstheme="minorHAnsi"/>
              </w:rPr>
            </w:pPr>
            <w:r w:rsidRPr="005D0BCA">
              <w:rPr>
                <w:rFonts w:cstheme="minorHAnsi"/>
              </w:rPr>
              <w:t xml:space="preserve">Soovituslik on kaasata konsortsiumisse kraadiõppureid. </w:t>
            </w:r>
          </w:p>
          <w:p w14:paraId="28F1BE36" w14:textId="77777777" w:rsidR="00AE382F" w:rsidRPr="005D0BCA" w:rsidRDefault="00AE382F" w:rsidP="00AE382F">
            <w:pPr>
              <w:jc w:val="both"/>
              <w:rPr>
                <w:rFonts w:cstheme="minorHAnsi"/>
              </w:rPr>
            </w:pPr>
            <w:r w:rsidRPr="005D0BCA">
              <w:rPr>
                <w:rFonts w:cstheme="minorHAnsi"/>
              </w:rPr>
              <w:t xml:space="preserve">Uuringu elluviimisse on lubatud kaasata alltöövõtjatena eksperte (juriidilised või füüsilised isikud) väljastpoolt konsortsiumi. </w:t>
            </w:r>
          </w:p>
          <w:p w14:paraId="281930DB" w14:textId="77777777" w:rsidR="0087775F" w:rsidRPr="00AE382F" w:rsidRDefault="0087775F" w:rsidP="00CC156E">
            <w:pPr>
              <w:jc w:val="both"/>
              <w:rPr>
                <w:rFonts w:ascii="Times New Roman" w:hAnsi="Times New Roman" w:cs="Times New Roman"/>
                <w:sz w:val="24"/>
                <w:szCs w:val="24"/>
              </w:rPr>
            </w:pPr>
          </w:p>
          <w:p w14:paraId="5FC0B2CA" w14:textId="77777777" w:rsidR="00FC1FEB" w:rsidRPr="00AE382F" w:rsidRDefault="00FC1FEB" w:rsidP="00FC1FEB">
            <w:pPr>
              <w:jc w:val="both"/>
              <w:rPr>
                <w:rFonts w:cstheme="minorHAnsi"/>
                <w:b/>
              </w:rPr>
            </w:pPr>
            <w:r w:rsidRPr="00AE382F">
              <w:rPr>
                <w:rFonts w:cstheme="minorHAnsi"/>
                <w:b/>
              </w:rPr>
              <w:t>Uuringuettepanek ja lisadokumendid</w:t>
            </w:r>
          </w:p>
          <w:p w14:paraId="7E97D25C" w14:textId="77777777" w:rsidR="00FC1FEB" w:rsidRPr="00AE382F" w:rsidRDefault="00FC1FEB" w:rsidP="00FC1FEB">
            <w:pPr>
              <w:jc w:val="both"/>
              <w:rPr>
                <w:rFonts w:cstheme="minorHAnsi"/>
                <w:bCs/>
              </w:rPr>
            </w:pPr>
          </w:p>
          <w:p w14:paraId="026CB91B" w14:textId="77777777" w:rsidR="00AE382F" w:rsidRPr="00AE382F" w:rsidRDefault="00AE382F" w:rsidP="00AE382F">
            <w:pPr>
              <w:jc w:val="both"/>
              <w:rPr>
                <w:rFonts w:cstheme="minorHAnsi"/>
              </w:rPr>
            </w:pPr>
            <w:r w:rsidRPr="00AE382F">
              <w:rPr>
                <w:rFonts w:cstheme="minorHAnsi"/>
              </w:rPr>
              <w:t xml:space="preserve">Uuringuettepanekus </w:t>
            </w:r>
            <w:r w:rsidRPr="00AE382F">
              <w:rPr>
                <w:rFonts w:cstheme="minorHAnsi"/>
                <w:b/>
              </w:rPr>
              <w:t>tuleb esitada:</w:t>
            </w:r>
          </w:p>
          <w:p w14:paraId="2005EB5F" w14:textId="77777777" w:rsidR="00AE382F" w:rsidRPr="00AE382F" w:rsidRDefault="00AE382F" w:rsidP="00AE382F">
            <w:pPr>
              <w:pStyle w:val="Loendilik"/>
              <w:numPr>
                <w:ilvl w:val="0"/>
                <w:numId w:val="1"/>
              </w:numPr>
              <w:spacing w:before="0" w:after="0"/>
              <w:rPr>
                <w:rFonts w:asciiTheme="minorHAnsi" w:hAnsiTheme="minorHAnsi" w:cstheme="minorHAnsi"/>
                <w:sz w:val="22"/>
              </w:rPr>
            </w:pPr>
            <w:r w:rsidRPr="00AE382F">
              <w:rPr>
                <w:rFonts w:asciiTheme="minorHAnsi" w:hAnsiTheme="minorHAnsi" w:cstheme="minorHAnsi"/>
                <w:bCs/>
                <w:sz w:val="22"/>
              </w:rPr>
              <w:t xml:space="preserve">pakkumuse eelarve, kus on mh kirjeldatud </w:t>
            </w:r>
            <w:r w:rsidRPr="00AE382F">
              <w:rPr>
                <w:rFonts w:asciiTheme="minorHAnsi" w:hAnsiTheme="minorHAnsi" w:cstheme="minorHAnsi"/>
                <w:sz w:val="22"/>
              </w:rPr>
              <w:t>uuringus osalevate töötajate (nii põhitäitjate kui ka üliõpilaste) koormused ja töötasukulud;</w:t>
            </w:r>
          </w:p>
          <w:p w14:paraId="1E235596" w14:textId="77777777" w:rsidR="00AE382F" w:rsidRPr="00AE382F" w:rsidRDefault="00AE382F" w:rsidP="00AE382F">
            <w:pPr>
              <w:pStyle w:val="Loendilik"/>
              <w:numPr>
                <w:ilvl w:val="0"/>
                <w:numId w:val="1"/>
              </w:numPr>
              <w:spacing w:after="0"/>
              <w:rPr>
                <w:rFonts w:asciiTheme="minorHAnsi" w:hAnsiTheme="minorHAnsi" w:cstheme="minorHAnsi"/>
                <w:bCs/>
                <w:sz w:val="22"/>
              </w:rPr>
            </w:pPr>
            <w:r w:rsidRPr="00AE382F">
              <w:rPr>
                <w:rFonts w:asciiTheme="minorHAnsi" w:hAnsiTheme="minorHAnsi" w:cstheme="minorHAnsi"/>
                <w:bCs/>
                <w:sz w:val="22"/>
              </w:rPr>
              <w:t>pakkuja arusaam sisulisest uuringuprobleemist ja sellest lähtuvalt püstitatud uurimis</w:t>
            </w:r>
            <w:r w:rsidRPr="00AE382F">
              <w:rPr>
                <w:rFonts w:asciiTheme="minorHAnsi" w:hAnsiTheme="minorHAnsi" w:cstheme="minorHAnsi"/>
                <w:bCs/>
                <w:sz w:val="22"/>
              </w:rPr>
              <w:softHyphen/>
              <w:t>ülesannetest ning oodatavast tulemusest;</w:t>
            </w:r>
          </w:p>
          <w:p w14:paraId="4C971D34" w14:textId="77777777" w:rsidR="00AE382F" w:rsidRPr="005D0BCA" w:rsidRDefault="00AE382F" w:rsidP="00AE382F">
            <w:pPr>
              <w:pStyle w:val="Loendilik"/>
              <w:numPr>
                <w:ilvl w:val="0"/>
                <w:numId w:val="1"/>
              </w:numPr>
              <w:spacing w:after="0"/>
              <w:rPr>
                <w:rFonts w:asciiTheme="minorHAnsi" w:hAnsiTheme="minorHAnsi" w:cstheme="minorHAnsi"/>
                <w:bCs/>
                <w:sz w:val="22"/>
              </w:rPr>
            </w:pPr>
            <w:r w:rsidRPr="00AE382F">
              <w:rPr>
                <w:rFonts w:asciiTheme="minorHAnsi" w:hAnsiTheme="minorHAnsi" w:cstheme="minorHAnsi"/>
                <w:bCs/>
                <w:sz w:val="22"/>
              </w:rPr>
              <w:t>pakutavate uurimismetoodikate</w:t>
            </w:r>
            <w:r w:rsidRPr="005D0BCA">
              <w:rPr>
                <w:rFonts w:asciiTheme="minorHAnsi" w:hAnsiTheme="minorHAnsi" w:cstheme="minorHAnsi"/>
                <w:bCs/>
                <w:sz w:val="22"/>
              </w:rPr>
              <w:t xml:space="preserve"> kirjeldus ja põhjendatus;</w:t>
            </w:r>
          </w:p>
          <w:p w14:paraId="5C483931" w14:textId="77777777" w:rsidR="00AE382F" w:rsidRPr="005D0BCA" w:rsidRDefault="00AE382F" w:rsidP="00AE382F">
            <w:pPr>
              <w:pStyle w:val="Loendilik"/>
              <w:numPr>
                <w:ilvl w:val="0"/>
                <w:numId w:val="1"/>
              </w:numPr>
              <w:spacing w:after="0"/>
              <w:rPr>
                <w:rFonts w:asciiTheme="minorHAnsi" w:hAnsiTheme="minorHAnsi" w:cstheme="minorHAnsi"/>
                <w:bCs/>
                <w:sz w:val="22"/>
              </w:rPr>
            </w:pPr>
            <w:r w:rsidRPr="005D0BCA">
              <w:rPr>
                <w:rFonts w:asciiTheme="minorHAnsi" w:hAnsiTheme="minorHAnsi" w:cstheme="minorHAnsi"/>
                <w:bCs/>
                <w:sz w:val="22"/>
              </w:rPr>
              <w:t>pakkuja nägemus andmevajadusest ning andmestike sidumisest ning andmehalduskava (sh GIS-andmestike osas);</w:t>
            </w:r>
          </w:p>
          <w:p w14:paraId="59C6FCD1" w14:textId="77777777" w:rsidR="00AE382F" w:rsidRPr="005D0BCA" w:rsidRDefault="00AE382F" w:rsidP="00AE382F">
            <w:pPr>
              <w:pStyle w:val="Loendilik"/>
              <w:numPr>
                <w:ilvl w:val="0"/>
                <w:numId w:val="1"/>
              </w:numPr>
              <w:spacing w:after="0"/>
              <w:rPr>
                <w:rFonts w:asciiTheme="minorHAnsi" w:hAnsiTheme="minorHAnsi" w:cstheme="minorHAnsi"/>
                <w:sz w:val="22"/>
              </w:rPr>
            </w:pPr>
            <w:r w:rsidRPr="005D0BCA">
              <w:rPr>
                <w:rFonts w:asciiTheme="minorHAnsi" w:hAnsiTheme="minorHAnsi" w:cstheme="minorHAnsi"/>
                <w:bCs/>
                <w:sz w:val="22"/>
              </w:rPr>
              <w:t>pakkuja nägemus uuringuprotsessi toimimisest (protsessi etapid, töökorralduslikud ette</w:t>
            </w:r>
            <w:r w:rsidRPr="005D0BCA">
              <w:rPr>
                <w:rFonts w:asciiTheme="minorHAnsi" w:hAnsiTheme="minorHAnsi" w:cstheme="minorHAnsi"/>
                <w:bCs/>
                <w:sz w:val="22"/>
              </w:rPr>
              <w:softHyphen/>
              <w:t>panekud jms), uuringu läbiviimise aja- ja tegevuskava</w:t>
            </w:r>
            <w:r w:rsidRPr="005D0BCA">
              <w:rPr>
                <w:rFonts w:asciiTheme="minorHAnsi" w:hAnsiTheme="minorHAnsi" w:cstheme="minorHAnsi"/>
                <w:sz w:val="22"/>
              </w:rPr>
              <w:t xml:space="preserve"> vähemalt kvartalite täpsusega näiteks Gantti graafikuna</w:t>
            </w:r>
            <w:r w:rsidRPr="005D0BCA">
              <w:rPr>
                <w:rFonts w:asciiTheme="minorHAnsi" w:hAnsiTheme="minorHAnsi" w:cstheme="minorHAnsi"/>
                <w:bCs/>
                <w:sz w:val="22"/>
              </w:rPr>
              <w:t>;</w:t>
            </w:r>
          </w:p>
          <w:p w14:paraId="41DDCCF8" w14:textId="77777777" w:rsidR="00AE382F" w:rsidRPr="005D0BCA" w:rsidRDefault="00AE382F" w:rsidP="00AE382F">
            <w:pPr>
              <w:pStyle w:val="Loendilik"/>
              <w:numPr>
                <w:ilvl w:val="0"/>
                <w:numId w:val="1"/>
              </w:numPr>
              <w:spacing w:after="0"/>
              <w:rPr>
                <w:rFonts w:asciiTheme="minorHAnsi" w:hAnsiTheme="minorHAnsi" w:cstheme="minorHAnsi"/>
                <w:sz w:val="22"/>
              </w:rPr>
            </w:pPr>
            <w:r w:rsidRPr="005D0BCA">
              <w:rPr>
                <w:rFonts w:asciiTheme="minorHAnsi" w:hAnsiTheme="minorHAnsi" w:cstheme="minorHAnsi"/>
                <w:sz w:val="22"/>
              </w:rPr>
              <w:t>riskide maandamise plaan, mis kajastab lisaks sisulise töö riskidele ka konsortsiumi töö koordineerimisega seotud riske;</w:t>
            </w:r>
          </w:p>
          <w:p w14:paraId="750D2746" w14:textId="2F64889C" w:rsidR="00AE382F" w:rsidRPr="005D0BCA" w:rsidRDefault="00AE382F" w:rsidP="00AE382F">
            <w:pPr>
              <w:pStyle w:val="Loendilik"/>
              <w:numPr>
                <w:ilvl w:val="0"/>
                <w:numId w:val="1"/>
              </w:numPr>
              <w:spacing w:after="0"/>
              <w:rPr>
                <w:rFonts w:asciiTheme="minorHAnsi" w:hAnsiTheme="minorHAnsi" w:cstheme="minorHAnsi"/>
                <w:bCs/>
                <w:sz w:val="22"/>
              </w:rPr>
            </w:pPr>
            <w:r w:rsidRPr="005D0BCA">
              <w:rPr>
                <w:rFonts w:asciiTheme="minorHAnsi" w:hAnsiTheme="minorHAnsi" w:cstheme="minorHAnsi"/>
                <w:bCs/>
                <w:sz w:val="22"/>
              </w:rPr>
              <w:t>konsortsiumi</w:t>
            </w:r>
            <w:r w:rsidR="00C35F7A">
              <w:rPr>
                <w:rFonts w:asciiTheme="minorHAnsi" w:hAnsiTheme="minorHAnsi" w:cstheme="minorHAnsi"/>
                <w:bCs/>
                <w:sz w:val="22"/>
              </w:rPr>
              <w:t>/meeskonna</w:t>
            </w:r>
            <w:r w:rsidRPr="005D0BCA">
              <w:rPr>
                <w:rFonts w:asciiTheme="minorHAnsi" w:hAnsiTheme="minorHAnsi" w:cstheme="minorHAnsi"/>
                <w:bCs/>
                <w:sz w:val="22"/>
              </w:rPr>
              <w:t xml:space="preserve"> kirjeldus, uuringumeeskonna pädevuse kirjeldus, vajadusel allhankijate ülevaade.</w:t>
            </w:r>
          </w:p>
          <w:p w14:paraId="0DE9563B" w14:textId="77777777" w:rsidR="008E0BC4" w:rsidRPr="00A02B11" w:rsidRDefault="008E0BC4" w:rsidP="008E0BC4">
            <w:pPr>
              <w:rPr>
                <w:rFonts w:cstheme="minorHAnsi"/>
                <w:bCs/>
                <w:highlight w:val="yellow"/>
              </w:rPr>
            </w:pPr>
          </w:p>
          <w:p w14:paraId="1F2996A2" w14:textId="77777777" w:rsidR="00AE382F" w:rsidRPr="00AE382F" w:rsidRDefault="00AE382F" w:rsidP="00AE382F">
            <w:pPr>
              <w:jc w:val="both"/>
              <w:rPr>
                <w:rFonts w:cstheme="minorHAnsi"/>
              </w:rPr>
            </w:pPr>
            <w:r w:rsidRPr="003E3E07">
              <w:rPr>
                <w:rFonts w:cstheme="minorHAnsi"/>
              </w:rPr>
              <w:t>Konsortsium</w:t>
            </w:r>
            <w:r w:rsidRPr="00AE382F">
              <w:rPr>
                <w:rFonts w:cstheme="minorHAnsi"/>
              </w:rPr>
              <w:t xml:space="preserve"> peab tegema koostööd projekti juhtkomisjoniga, sh järgmiselt:</w:t>
            </w:r>
          </w:p>
          <w:p w14:paraId="1984837F" w14:textId="605ACED2" w:rsidR="00AE382F" w:rsidRPr="00A11ABF" w:rsidRDefault="00AE382F" w:rsidP="00AE382F">
            <w:pPr>
              <w:pStyle w:val="Loendilik"/>
              <w:numPr>
                <w:ilvl w:val="0"/>
                <w:numId w:val="2"/>
              </w:numPr>
              <w:spacing w:before="0" w:after="0"/>
              <w:rPr>
                <w:rFonts w:asciiTheme="minorHAnsi" w:hAnsiTheme="minorHAnsi" w:cstheme="minorHAnsi"/>
                <w:sz w:val="22"/>
              </w:rPr>
            </w:pPr>
            <w:r w:rsidRPr="00A11ABF">
              <w:rPr>
                <w:rFonts w:asciiTheme="minorHAnsi" w:hAnsiTheme="minorHAnsi" w:cstheme="minorHAnsi"/>
                <w:sz w:val="22"/>
              </w:rPr>
              <w:t>esitama hiljemalt 2 kuu jooksul lepingu sõlmimisest täpsustatud aja- ja tegevuskava ning koos</w:t>
            </w:r>
            <w:r w:rsidRPr="00A11ABF">
              <w:rPr>
                <w:rFonts w:asciiTheme="minorHAnsi" w:hAnsiTheme="minorHAnsi" w:cstheme="minorHAnsi"/>
                <w:sz w:val="22"/>
              </w:rPr>
              <w:softHyphen/>
              <w:t>kõlastama selle juhtkomisjoniga hiljemalt I etapi aruande esitamise tähtajaks (</w:t>
            </w:r>
            <w:r w:rsidR="00A11ABF" w:rsidRPr="00A11ABF">
              <w:rPr>
                <w:rFonts w:asciiTheme="minorHAnsi" w:hAnsiTheme="minorHAnsi" w:cstheme="minorHAnsi"/>
                <w:sz w:val="22"/>
              </w:rPr>
              <w:t>30.05</w:t>
            </w:r>
            <w:r w:rsidRPr="00A11ABF">
              <w:rPr>
                <w:rFonts w:asciiTheme="minorHAnsi" w:hAnsiTheme="minorHAnsi" w:cstheme="minorHAnsi"/>
                <w:sz w:val="22"/>
              </w:rPr>
              <w:t xml:space="preserve">.2025); </w:t>
            </w:r>
          </w:p>
          <w:p w14:paraId="0BB54CEC" w14:textId="77777777" w:rsidR="00AE382F" w:rsidRPr="005D0BCA" w:rsidRDefault="00AE382F" w:rsidP="00AE382F">
            <w:pPr>
              <w:pStyle w:val="Loendilik"/>
              <w:numPr>
                <w:ilvl w:val="0"/>
                <w:numId w:val="2"/>
              </w:numPr>
              <w:spacing w:before="0" w:after="0"/>
              <w:rPr>
                <w:rFonts w:asciiTheme="minorHAnsi" w:hAnsiTheme="minorHAnsi" w:cstheme="minorHAnsi"/>
                <w:sz w:val="22"/>
              </w:rPr>
            </w:pPr>
            <w:r w:rsidRPr="005D0BCA">
              <w:rPr>
                <w:rFonts w:asciiTheme="minorHAnsi" w:hAnsiTheme="minorHAnsi" w:cstheme="minorHAnsi"/>
                <w:sz w:val="22"/>
              </w:rPr>
              <w:t>osalema avakoosolekul projekti juhtkomisjoniga, mille toimumisaeg otsustatakse kokku</w:t>
            </w:r>
            <w:r w:rsidRPr="005D0BCA">
              <w:rPr>
                <w:rFonts w:asciiTheme="minorHAnsi" w:hAnsiTheme="minorHAnsi" w:cstheme="minorHAnsi"/>
                <w:sz w:val="22"/>
              </w:rPr>
              <w:softHyphen/>
              <w:t xml:space="preserve">leppel tellijaga esimesel võimalusel pärast lepingu sõlmimist; </w:t>
            </w:r>
          </w:p>
          <w:p w14:paraId="4554AC89" w14:textId="4C77F70F" w:rsidR="00AE382F" w:rsidRPr="005D0BCA" w:rsidRDefault="00AE382F" w:rsidP="00AE382F">
            <w:pPr>
              <w:pStyle w:val="Loendilik"/>
              <w:numPr>
                <w:ilvl w:val="0"/>
                <w:numId w:val="2"/>
              </w:numPr>
              <w:spacing w:before="0" w:after="0"/>
              <w:rPr>
                <w:rFonts w:asciiTheme="minorHAnsi" w:hAnsiTheme="minorHAnsi" w:cstheme="minorHAnsi"/>
                <w:sz w:val="22"/>
              </w:rPr>
            </w:pPr>
            <w:r w:rsidRPr="005D0BCA">
              <w:rPr>
                <w:rFonts w:asciiTheme="minorHAnsi" w:hAnsiTheme="minorHAnsi" w:cstheme="minorHAnsi"/>
                <w:sz w:val="22"/>
              </w:rPr>
              <w:t xml:space="preserve">osalema regulaarsetel koosolekutel projekti juhtkomisjoniga: 2025. </w:t>
            </w:r>
            <w:r w:rsidR="003E3E07">
              <w:rPr>
                <w:rFonts w:asciiTheme="minorHAnsi" w:hAnsiTheme="minorHAnsi" w:cstheme="minorHAnsi"/>
                <w:sz w:val="22"/>
              </w:rPr>
              <w:t xml:space="preserve">ja 2027. </w:t>
            </w:r>
            <w:r w:rsidRPr="005D0BCA">
              <w:rPr>
                <w:rFonts w:asciiTheme="minorHAnsi" w:hAnsiTheme="minorHAnsi" w:cstheme="minorHAnsi"/>
                <w:sz w:val="22"/>
              </w:rPr>
              <w:t>aasta jooksul vähemalt kolmel ja 2026. aastal vähemalt neljal koosolekul;</w:t>
            </w:r>
          </w:p>
          <w:p w14:paraId="5C6BE374" w14:textId="7662D350" w:rsidR="00AE382F" w:rsidRPr="005D0BCA" w:rsidRDefault="00AE382F" w:rsidP="00AE382F">
            <w:pPr>
              <w:pStyle w:val="Loendilik"/>
              <w:numPr>
                <w:ilvl w:val="0"/>
                <w:numId w:val="2"/>
              </w:numPr>
              <w:spacing w:before="0" w:after="0"/>
              <w:rPr>
                <w:rFonts w:asciiTheme="minorHAnsi" w:hAnsiTheme="minorHAnsi" w:cstheme="minorHAnsi"/>
                <w:sz w:val="22"/>
              </w:rPr>
            </w:pPr>
            <w:r w:rsidRPr="005D0BCA">
              <w:rPr>
                <w:rFonts w:asciiTheme="minorHAnsi" w:hAnsiTheme="minorHAnsi" w:cstheme="minorHAnsi"/>
                <w:sz w:val="22"/>
              </w:rPr>
              <w:t>osalema projekti edenemise ja tulemuste avalikustamisseminaridel: üks aastal 2025</w:t>
            </w:r>
            <w:r w:rsidR="003E3E07">
              <w:rPr>
                <w:rFonts w:asciiTheme="minorHAnsi" w:hAnsiTheme="minorHAnsi" w:cstheme="minorHAnsi"/>
                <w:sz w:val="22"/>
              </w:rPr>
              <w:t>, üks aastal 2026</w:t>
            </w:r>
            <w:r w:rsidRPr="005D0BCA">
              <w:rPr>
                <w:rFonts w:asciiTheme="minorHAnsi" w:hAnsiTheme="minorHAnsi" w:cstheme="minorHAnsi"/>
                <w:sz w:val="22"/>
              </w:rPr>
              <w:t xml:space="preserve"> ja üks aastal </w:t>
            </w:r>
            <w:r w:rsidR="003E3E07">
              <w:rPr>
                <w:rFonts w:asciiTheme="minorHAnsi" w:hAnsiTheme="minorHAnsi" w:cstheme="minorHAnsi"/>
                <w:sz w:val="22"/>
              </w:rPr>
              <w:t>2027</w:t>
            </w:r>
            <w:r w:rsidRPr="005D0BCA">
              <w:rPr>
                <w:rFonts w:asciiTheme="minorHAnsi" w:hAnsiTheme="minorHAnsi" w:cstheme="minorHAnsi"/>
                <w:sz w:val="22"/>
              </w:rPr>
              <w:t xml:space="preserve"> (täpsed toimumisajad lepitakse kokku projekti juht</w:t>
            </w:r>
            <w:r w:rsidR="003E3E07">
              <w:rPr>
                <w:rFonts w:asciiTheme="minorHAnsi" w:hAnsiTheme="minorHAnsi" w:cstheme="minorHAnsi"/>
                <w:sz w:val="22"/>
              </w:rPr>
              <w:softHyphen/>
            </w:r>
            <w:r w:rsidRPr="005D0BCA">
              <w:rPr>
                <w:rFonts w:asciiTheme="minorHAnsi" w:hAnsiTheme="minorHAnsi" w:cstheme="minorHAnsi"/>
                <w:sz w:val="22"/>
              </w:rPr>
              <w:t>komisjoniga).</w:t>
            </w:r>
          </w:p>
          <w:p w14:paraId="1E1B96BF" w14:textId="77777777" w:rsidR="002F2920" w:rsidRPr="00A02B11" w:rsidRDefault="002F2920" w:rsidP="002F2920">
            <w:pPr>
              <w:rPr>
                <w:rFonts w:cstheme="minorHAnsi"/>
                <w:highlight w:val="yellow"/>
              </w:rPr>
            </w:pPr>
          </w:p>
          <w:p w14:paraId="4301A9C2" w14:textId="77777777" w:rsidR="003E3E07" w:rsidRPr="005D0BCA" w:rsidRDefault="003E3E07" w:rsidP="003E3E07">
            <w:pPr>
              <w:jc w:val="both"/>
              <w:rPr>
                <w:rFonts w:cstheme="minorHAnsi"/>
                <w:b/>
              </w:rPr>
            </w:pPr>
            <w:r w:rsidRPr="005D0BCA">
              <w:rPr>
                <w:rFonts w:cstheme="minorHAnsi"/>
                <w:b/>
              </w:rPr>
              <w:t>Projekti töörühm ja aruandlus</w:t>
            </w:r>
          </w:p>
          <w:p w14:paraId="1CB101A8" w14:textId="1495A082" w:rsidR="003E3E07" w:rsidRPr="00CD4C9C" w:rsidRDefault="003E3E07" w:rsidP="003E3E07">
            <w:pPr>
              <w:jc w:val="both"/>
              <w:rPr>
                <w:rFonts w:cstheme="minorHAnsi"/>
              </w:rPr>
            </w:pPr>
            <w:r w:rsidRPr="005D0BCA">
              <w:rPr>
                <w:rFonts w:cstheme="minorHAnsi"/>
              </w:rPr>
              <w:t>Tellija moodustab projekti jälgimiseks projekti juhtkomisjoni, mille koosseisu kuuluvad peale täitjate ja tellija esindajate ka ETAGi, Kliimaministeeriumi ning</w:t>
            </w:r>
            <w:r w:rsidRPr="005D0BCA">
              <w:t xml:space="preserve"> </w:t>
            </w:r>
            <w:r w:rsidRPr="005D0BCA">
              <w:rPr>
                <w:rFonts w:cstheme="minorHAnsi"/>
              </w:rPr>
              <w:t xml:space="preserve">Regionaal- ja Põllumajandusministeeriumi jt asjakohaste asutuste esindaja(d). Juhtkomisjon kohtub regulaarselt, kas füüsiliselt või virtuaalselt, </w:t>
            </w:r>
            <w:r w:rsidRPr="005D0BCA">
              <w:rPr>
                <w:rFonts w:cstheme="minorHAnsi"/>
                <w:color w:val="000000"/>
              </w:rPr>
              <w:t>et valideerida nii probleemipüstitust, uurimisülesandeid kui ka nende lahendamiseks kasutatavaid metoodikaid. Juhtkomisjonis tehakse ülevaade senistest tulemustest ning püstitatakse eesmärgid järgmisteks vaheetappideks. Juhtkomisjonil on õigus teha eelarves, aja- ja tegevuskavas, valitud metoodikates jne muudatusi, eeldusel, et projekti üldeesmärk jääb muutumatuks.</w:t>
            </w:r>
            <w:r w:rsidR="000E1492">
              <w:rPr>
                <w:rFonts w:cstheme="minorHAnsi"/>
                <w:color w:val="000000"/>
              </w:rPr>
              <w:t xml:space="preserve"> </w:t>
            </w:r>
            <w:r w:rsidRPr="005D0BCA">
              <w:rPr>
                <w:rFonts w:cstheme="minorHAnsi"/>
              </w:rPr>
              <w:t>Juhtkomisjoni ülesanne on tagada, et projekti tegevused vastavad lähteülesandele ning uuringu</w:t>
            </w:r>
            <w:r w:rsidRPr="005D0BCA">
              <w:rPr>
                <w:rFonts w:cstheme="minorHAnsi"/>
              </w:rPr>
              <w:softHyphen/>
              <w:t xml:space="preserve">ettepanekus toodud eesmärkidele ja ajakavale ning jälgida, et eelarve oleks kasutatud </w:t>
            </w:r>
            <w:r w:rsidRPr="00CD4C9C">
              <w:rPr>
                <w:rFonts w:cstheme="minorHAnsi"/>
              </w:rPr>
              <w:t>eesmärgi</w:t>
            </w:r>
            <w:r w:rsidRPr="00CD4C9C">
              <w:rPr>
                <w:rFonts w:cstheme="minorHAnsi"/>
              </w:rPr>
              <w:softHyphen/>
              <w:t xml:space="preserve">päraselt. </w:t>
            </w:r>
            <w:r w:rsidR="000E1492">
              <w:rPr>
                <w:rFonts w:cstheme="minorHAnsi"/>
              </w:rPr>
              <w:t>Samuti on juhtkomisjoni ülesanne jälgida, et erinevad uuringud ja mudelid sobituksid omavahel ning oleksid tulevikus rakendatavad KHG inventuuris.</w:t>
            </w:r>
          </w:p>
          <w:p w14:paraId="3206E84C" w14:textId="77777777" w:rsidR="002F2920" w:rsidRPr="00A02B11" w:rsidRDefault="002F2920" w:rsidP="002F2920">
            <w:pPr>
              <w:jc w:val="both"/>
              <w:rPr>
                <w:rFonts w:cstheme="minorHAnsi"/>
                <w:highlight w:val="yellow"/>
              </w:rPr>
            </w:pPr>
          </w:p>
          <w:p w14:paraId="3E260733" w14:textId="77777777" w:rsidR="003E3E07" w:rsidRPr="00CD4C9C" w:rsidRDefault="003E3E07" w:rsidP="003E3E07">
            <w:pPr>
              <w:jc w:val="both"/>
              <w:rPr>
                <w:rFonts w:cstheme="minorHAnsi"/>
              </w:rPr>
            </w:pPr>
            <w:r w:rsidRPr="00CD4C9C">
              <w:rPr>
                <w:rFonts w:cstheme="minorHAnsi"/>
              </w:rPr>
              <w:t>Täitja esitab kirjalikud aruanded järgmiselt:</w:t>
            </w:r>
          </w:p>
          <w:p w14:paraId="53EF0BC3" w14:textId="76956F21" w:rsidR="003E3E07" w:rsidRPr="003E5652" w:rsidRDefault="003E3E07" w:rsidP="003E3E07">
            <w:pPr>
              <w:pStyle w:val="Loendilik"/>
              <w:numPr>
                <w:ilvl w:val="0"/>
                <w:numId w:val="3"/>
              </w:numPr>
              <w:spacing w:before="0" w:after="0"/>
              <w:rPr>
                <w:rFonts w:asciiTheme="minorHAnsi" w:hAnsiTheme="minorHAnsi" w:cstheme="minorHAnsi"/>
                <w:sz w:val="22"/>
              </w:rPr>
            </w:pPr>
            <w:r w:rsidRPr="00CD4C9C">
              <w:rPr>
                <w:rFonts w:asciiTheme="minorHAnsi" w:hAnsiTheme="minorHAnsi" w:cstheme="minorHAnsi"/>
                <w:sz w:val="22"/>
              </w:rPr>
              <w:t xml:space="preserve">I etapi aruanne sisaldab </w:t>
            </w:r>
            <w:r w:rsidRPr="003E5652">
              <w:rPr>
                <w:rFonts w:asciiTheme="minorHAnsi" w:hAnsiTheme="minorHAnsi" w:cstheme="minorHAnsi"/>
                <w:sz w:val="22"/>
              </w:rPr>
              <w:t xml:space="preserve">detailset aja- ja tegevuskava ning eeltööde tulemusi (vt oodatav tulemus p 2) tekstilise aruandena, sh (esmast) metoodikate ja andmestike kirjeldust, mida hilisemates etappides vastavalt vajadusele täiendatakse. Tähtaeg: </w:t>
            </w:r>
            <w:r w:rsidR="003E5652" w:rsidRPr="000519FC">
              <w:rPr>
                <w:rFonts w:asciiTheme="minorHAnsi" w:hAnsiTheme="minorHAnsi" w:cstheme="minorHAnsi"/>
                <w:b/>
                <w:bCs/>
                <w:sz w:val="22"/>
              </w:rPr>
              <w:t>30.05</w:t>
            </w:r>
            <w:r w:rsidRPr="000519FC">
              <w:rPr>
                <w:rFonts w:asciiTheme="minorHAnsi" w:hAnsiTheme="minorHAnsi" w:cstheme="minorHAnsi"/>
                <w:b/>
                <w:bCs/>
                <w:sz w:val="22"/>
              </w:rPr>
              <w:t>.2025</w:t>
            </w:r>
            <w:r w:rsidRPr="003E5652">
              <w:rPr>
                <w:rFonts w:asciiTheme="minorHAnsi" w:hAnsiTheme="minorHAnsi" w:cstheme="minorHAnsi"/>
                <w:sz w:val="22"/>
              </w:rPr>
              <w:t>.</w:t>
            </w:r>
          </w:p>
          <w:p w14:paraId="14A328AF" w14:textId="4C770C6F" w:rsidR="003E3E07" w:rsidRPr="003E5652" w:rsidRDefault="003E3E07" w:rsidP="003E3E07">
            <w:pPr>
              <w:pStyle w:val="Loendilik"/>
              <w:numPr>
                <w:ilvl w:val="0"/>
                <w:numId w:val="3"/>
              </w:numPr>
              <w:spacing w:after="0"/>
              <w:rPr>
                <w:rFonts w:asciiTheme="minorHAnsi" w:hAnsiTheme="minorHAnsi" w:cstheme="minorHAnsi"/>
                <w:sz w:val="22"/>
              </w:rPr>
            </w:pPr>
            <w:r w:rsidRPr="003E5652">
              <w:rPr>
                <w:rFonts w:asciiTheme="minorHAnsi" w:hAnsiTheme="minorHAnsi" w:cstheme="minorHAnsi"/>
                <w:sz w:val="22"/>
              </w:rPr>
              <w:t xml:space="preserve">II etapi aruanne sisaldab: I etapi täiendatud aruannet, nt kui on metoodikaid muudetud; seni teostatud tööde ülevaadet, sh ülevaadet koondatud andmebaasist, </w:t>
            </w:r>
            <w:r w:rsidR="00F855E9">
              <w:rPr>
                <w:rFonts w:asciiTheme="minorHAnsi" w:hAnsiTheme="minorHAnsi" w:cstheme="minorHAnsi"/>
                <w:sz w:val="22"/>
              </w:rPr>
              <w:t>selle</w:t>
            </w:r>
            <w:r w:rsidR="00F855E9" w:rsidRPr="003E5652">
              <w:rPr>
                <w:rFonts w:asciiTheme="minorHAnsi" w:hAnsiTheme="minorHAnsi" w:cstheme="minorHAnsi"/>
                <w:sz w:val="22"/>
              </w:rPr>
              <w:t xml:space="preserve"> </w:t>
            </w:r>
            <w:r w:rsidRPr="003E5652">
              <w:rPr>
                <w:rFonts w:asciiTheme="minorHAnsi" w:hAnsiTheme="minorHAnsi" w:cstheme="minorHAnsi"/>
                <w:sz w:val="22"/>
              </w:rPr>
              <w:t xml:space="preserve">analüüsi ja valimi ettepanekut täiendavateks mõõtmisteks. Tähtaeg: </w:t>
            </w:r>
            <w:r w:rsidR="003E5652" w:rsidRPr="000519FC">
              <w:rPr>
                <w:rFonts w:asciiTheme="minorHAnsi" w:hAnsiTheme="minorHAnsi" w:cstheme="minorHAnsi"/>
                <w:b/>
                <w:bCs/>
                <w:sz w:val="22"/>
              </w:rPr>
              <w:t>30.1</w:t>
            </w:r>
            <w:r w:rsidR="000519FC" w:rsidRPr="000519FC">
              <w:rPr>
                <w:rFonts w:asciiTheme="minorHAnsi" w:hAnsiTheme="minorHAnsi" w:cstheme="minorHAnsi"/>
                <w:b/>
                <w:bCs/>
                <w:sz w:val="22"/>
              </w:rPr>
              <w:t>0</w:t>
            </w:r>
            <w:r w:rsidRPr="000519FC">
              <w:rPr>
                <w:rFonts w:asciiTheme="minorHAnsi" w:hAnsiTheme="minorHAnsi" w:cstheme="minorHAnsi"/>
                <w:b/>
                <w:bCs/>
                <w:sz w:val="22"/>
              </w:rPr>
              <w:t>.2025</w:t>
            </w:r>
            <w:r w:rsidRPr="003E5652">
              <w:rPr>
                <w:rFonts w:asciiTheme="minorHAnsi" w:hAnsiTheme="minorHAnsi" w:cstheme="minorHAnsi"/>
                <w:sz w:val="22"/>
              </w:rPr>
              <w:t>.</w:t>
            </w:r>
          </w:p>
          <w:p w14:paraId="525C8A2E" w14:textId="16173167" w:rsidR="003E3E07" w:rsidRPr="003E5652" w:rsidRDefault="003E3E07" w:rsidP="003E3E07">
            <w:pPr>
              <w:pStyle w:val="Loendilik"/>
              <w:numPr>
                <w:ilvl w:val="0"/>
                <w:numId w:val="3"/>
              </w:numPr>
              <w:spacing w:after="0"/>
              <w:rPr>
                <w:rFonts w:asciiTheme="minorHAnsi" w:hAnsiTheme="minorHAnsi" w:cstheme="minorHAnsi"/>
                <w:sz w:val="22"/>
              </w:rPr>
            </w:pPr>
            <w:r w:rsidRPr="003E5652">
              <w:rPr>
                <w:rFonts w:asciiTheme="minorHAnsi" w:hAnsiTheme="minorHAnsi" w:cstheme="minorHAnsi"/>
                <w:sz w:val="22"/>
              </w:rPr>
              <w:t>III etapi aruanne sisaldab: II etapi täiendatud aruannet, sh lõplikku valimit täiendavateks mõõtmisteks, esmase</w:t>
            </w:r>
            <w:r w:rsidR="00957E88" w:rsidRPr="003E5652">
              <w:rPr>
                <w:rFonts w:asciiTheme="minorHAnsi" w:hAnsiTheme="minorHAnsi" w:cstheme="minorHAnsi"/>
                <w:sz w:val="22"/>
              </w:rPr>
              <w:t>i</w:t>
            </w:r>
            <w:r w:rsidRPr="003E5652">
              <w:rPr>
                <w:rFonts w:asciiTheme="minorHAnsi" w:hAnsiTheme="minorHAnsi" w:cstheme="minorHAnsi"/>
                <w:sz w:val="22"/>
              </w:rPr>
              <w:t>d mõõtmis- ja analüüsitulemus</w:t>
            </w:r>
            <w:r w:rsidR="00957E88" w:rsidRPr="003E5652">
              <w:rPr>
                <w:rFonts w:asciiTheme="minorHAnsi" w:hAnsiTheme="minorHAnsi" w:cstheme="minorHAnsi"/>
                <w:sz w:val="22"/>
              </w:rPr>
              <w:t>i</w:t>
            </w:r>
            <w:r w:rsidRPr="003E5652">
              <w:rPr>
                <w:rFonts w:asciiTheme="minorHAnsi" w:hAnsiTheme="minorHAnsi" w:cstheme="minorHAnsi"/>
                <w:sz w:val="22"/>
              </w:rPr>
              <w:t xml:space="preserve">, mudeli </w:t>
            </w:r>
            <w:r w:rsidR="00F855E9">
              <w:rPr>
                <w:rFonts w:asciiTheme="minorHAnsi" w:hAnsiTheme="minorHAnsi" w:cstheme="minorHAnsi"/>
                <w:sz w:val="22"/>
              </w:rPr>
              <w:t xml:space="preserve">ja eriheitetegurite </w:t>
            </w:r>
            <w:r w:rsidRPr="003E5652">
              <w:rPr>
                <w:rFonts w:asciiTheme="minorHAnsi" w:hAnsiTheme="minorHAnsi" w:cstheme="minorHAnsi"/>
                <w:sz w:val="22"/>
              </w:rPr>
              <w:t>ette</w:t>
            </w:r>
            <w:r w:rsidR="00986FB4">
              <w:rPr>
                <w:rFonts w:asciiTheme="minorHAnsi" w:hAnsiTheme="minorHAnsi" w:cstheme="minorHAnsi"/>
                <w:sz w:val="22"/>
              </w:rPr>
              <w:softHyphen/>
            </w:r>
            <w:r w:rsidRPr="003E5652">
              <w:rPr>
                <w:rFonts w:asciiTheme="minorHAnsi" w:hAnsiTheme="minorHAnsi" w:cstheme="minorHAnsi"/>
                <w:sz w:val="22"/>
              </w:rPr>
              <w:t>panek</w:t>
            </w:r>
            <w:r w:rsidR="00957E88" w:rsidRPr="003E5652">
              <w:rPr>
                <w:rFonts w:asciiTheme="minorHAnsi" w:hAnsiTheme="minorHAnsi" w:cstheme="minorHAnsi"/>
                <w:sz w:val="22"/>
              </w:rPr>
              <w:t>ut</w:t>
            </w:r>
            <w:r w:rsidRPr="003E5652">
              <w:rPr>
                <w:rFonts w:asciiTheme="minorHAnsi" w:hAnsiTheme="minorHAnsi" w:cstheme="minorHAnsi"/>
                <w:sz w:val="22"/>
              </w:rPr>
              <w:t xml:space="preserve">. Tähtaeg: </w:t>
            </w:r>
            <w:r w:rsidR="003E5652" w:rsidRPr="000519FC">
              <w:rPr>
                <w:rFonts w:asciiTheme="minorHAnsi" w:hAnsiTheme="minorHAnsi" w:cstheme="minorHAnsi"/>
                <w:b/>
                <w:bCs/>
                <w:sz w:val="22"/>
              </w:rPr>
              <w:t>30.1</w:t>
            </w:r>
            <w:r w:rsidR="000519FC" w:rsidRPr="000519FC">
              <w:rPr>
                <w:rFonts w:asciiTheme="minorHAnsi" w:hAnsiTheme="minorHAnsi" w:cstheme="minorHAnsi"/>
                <w:b/>
                <w:bCs/>
                <w:sz w:val="22"/>
              </w:rPr>
              <w:t>0</w:t>
            </w:r>
            <w:r w:rsidRPr="000519FC">
              <w:rPr>
                <w:rFonts w:asciiTheme="minorHAnsi" w:hAnsiTheme="minorHAnsi" w:cstheme="minorHAnsi"/>
                <w:b/>
                <w:bCs/>
                <w:sz w:val="22"/>
              </w:rPr>
              <w:t>.2026</w:t>
            </w:r>
            <w:r w:rsidRPr="003E5652">
              <w:rPr>
                <w:rFonts w:asciiTheme="minorHAnsi" w:hAnsiTheme="minorHAnsi" w:cstheme="minorHAnsi"/>
                <w:sz w:val="22"/>
              </w:rPr>
              <w:t>.</w:t>
            </w:r>
          </w:p>
          <w:p w14:paraId="432DE0ED" w14:textId="5731B575" w:rsidR="003E3E07" w:rsidRPr="003E5652" w:rsidRDefault="003E3E07" w:rsidP="003E3E07">
            <w:pPr>
              <w:pStyle w:val="Loendilik"/>
              <w:numPr>
                <w:ilvl w:val="0"/>
                <w:numId w:val="3"/>
              </w:numPr>
              <w:spacing w:after="0"/>
              <w:rPr>
                <w:rFonts w:asciiTheme="minorHAnsi" w:hAnsiTheme="minorHAnsi" w:cstheme="minorHAnsi"/>
                <w:sz w:val="22"/>
              </w:rPr>
            </w:pPr>
            <w:r w:rsidRPr="003E5652">
              <w:rPr>
                <w:rFonts w:asciiTheme="minorHAnsi" w:hAnsiTheme="minorHAnsi" w:cstheme="minorHAnsi"/>
                <w:sz w:val="22"/>
              </w:rPr>
              <w:t xml:space="preserve">Lõpparuanne, mille tekstiosa mustandi esitamise tähtaeg on </w:t>
            </w:r>
            <w:r w:rsidR="00C35F7A">
              <w:rPr>
                <w:rFonts w:asciiTheme="minorHAnsi" w:hAnsiTheme="minorHAnsi" w:cstheme="minorHAnsi"/>
                <w:sz w:val="22"/>
              </w:rPr>
              <w:t>1</w:t>
            </w:r>
            <w:r w:rsidR="00D3404A" w:rsidRPr="003E5652">
              <w:rPr>
                <w:rFonts w:asciiTheme="minorHAnsi" w:hAnsiTheme="minorHAnsi" w:cstheme="minorHAnsi"/>
                <w:sz w:val="22"/>
              </w:rPr>
              <w:t>0</w:t>
            </w:r>
            <w:r w:rsidRPr="003E5652">
              <w:rPr>
                <w:rFonts w:asciiTheme="minorHAnsi" w:hAnsiTheme="minorHAnsi" w:cstheme="minorHAnsi"/>
                <w:sz w:val="22"/>
              </w:rPr>
              <w:t>.</w:t>
            </w:r>
            <w:r w:rsidR="000E1492" w:rsidRPr="003E5652">
              <w:rPr>
                <w:rFonts w:asciiTheme="minorHAnsi" w:hAnsiTheme="minorHAnsi" w:cstheme="minorHAnsi"/>
                <w:sz w:val="22"/>
              </w:rPr>
              <w:t>09</w:t>
            </w:r>
            <w:r w:rsidRPr="003E5652">
              <w:rPr>
                <w:rFonts w:asciiTheme="minorHAnsi" w:hAnsiTheme="minorHAnsi" w:cstheme="minorHAnsi"/>
                <w:sz w:val="22"/>
              </w:rPr>
              <w:t>.2027 ning lõpliku versiooni ja muude täiendavate materjalide</w:t>
            </w:r>
            <w:r w:rsidR="000E1492" w:rsidRPr="003E5652">
              <w:rPr>
                <w:rFonts w:asciiTheme="minorHAnsi" w:hAnsiTheme="minorHAnsi" w:cstheme="minorHAnsi"/>
                <w:sz w:val="22"/>
              </w:rPr>
              <w:t xml:space="preserve"> (tööde käigus kogutud andmed, mudeli(te skript(id) jne)</w:t>
            </w:r>
            <w:r w:rsidRPr="003E5652">
              <w:rPr>
                <w:rFonts w:asciiTheme="minorHAnsi" w:hAnsiTheme="minorHAnsi" w:cstheme="minorHAnsi"/>
                <w:sz w:val="22"/>
              </w:rPr>
              <w:t xml:space="preserve"> esitamis</w:t>
            </w:r>
            <w:r w:rsidR="000E1492" w:rsidRPr="003E5652">
              <w:rPr>
                <w:rFonts w:asciiTheme="minorHAnsi" w:hAnsiTheme="minorHAnsi" w:cstheme="minorHAnsi"/>
                <w:sz w:val="22"/>
              </w:rPr>
              <w:t xml:space="preserve">e </w:t>
            </w:r>
            <w:r w:rsidRPr="003E5652">
              <w:rPr>
                <w:rFonts w:asciiTheme="minorHAnsi" w:hAnsiTheme="minorHAnsi" w:cstheme="minorHAnsi"/>
                <w:sz w:val="22"/>
              </w:rPr>
              <w:t xml:space="preserve">tähtaeg on </w:t>
            </w:r>
            <w:r w:rsidR="000E1492" w:rsidRPr="000519FC">
              <w:rPr>
                <w:rFonts w:asciiTheme="minorHAnsi" w:hAnsiTheme="minorHAnsi" w:cstheme="minorHAnsi"/>
                <w:b/>
                <w:bCs/>
                <w:sz w:val="22"/>
              </w:rPr>
              <w:t>3</w:t>
            </w:r>
            <w:r w:rsidR="00D3404A" w:rsidRPr="000519FC">
              <w:rPr>
                <w:rFonts w:asciiTheme="minorHAnsi" w:hAnsiTheme="minorHAnsi" w:cstheme="minorHAnsi"/>
                <w:b/>
                <w:bCs/>
                <w:sz w:val="22"/>
              </w:rPr>
              <w:t>0</w:t>
            </w:r>
            <w:r w:rsidRPr="000519FC">
              <w:rPr>
                <w:rFonts w:asciiTheme="minorHAnsi" w:hAnsiTheme="minorHAnsi" w:cstheme="minorHAnsi"/>
                <w:b/>
                <w:bCs/>
                <w:sz w:val="22"/>
              </w:rPr>
              <w:t>.</w:t>
            </w:r>
            <w:r w:rsidR="00D3404A" w:rsidRPr="000519FC">
              <w:rPr>
                <w:rFonts w:asciiTheme="minorHAnsi" w:hAnsiTheme="minorHAnsi" w:cstheme="minorHAnsi"/>
                <w:b/>
                <w:bCs/>
                <w:sz w:val="22"/>
              </w:rPr>
              <w:t>1</w:t>
            </w:r>
            <w:r w:rsidR="000E1492" w:rsidRPr="000519FC">
              <w:rPr>
                <w:rFonts w:asciiTheme="minorHAnsi" w:hAnsiTheme="minorHAnsi" w:cstheme="minorHAnsi"/>
                <w:b/>
                <w:bCs/>
                <w:sz w:val="22"/>
              </w:rPr>
              <w:t>0</w:t>
            </w:r>
            <w:r w:rsidRPr="000519FC">
              <w:rPr>
                <w:rFonts w:asciiTheme="minorHAnsi" w:hAnsiTheme="minorHAnsi" w:cstheme="minorHAnsi"/>
                <w:b/>
                <w:bCs/>
                <w:sz w:val="22"/>
              </w:rPr>
              <w:t>.2027</w:t>
            </w:r>
            <w:r w:rsidRPr="003E5652">
              <w:rPr>
                <w:rFonts w:asciiTheme="minorHAnsi" w:hAnsiTheme="minorHAnsi" w:cstheme="minorHAnsi"/>
                <w:sz w:val="22"/>
              </w:rPr>
              <w:t xml:space="preserve">. </w:t>
            </w:r>
          </w:p>
          <w:p w14:paraId="521AB23F" w14:textId="77777777" w:rsidR="003E3E07" w:rsidRPr="00CD4C9C" w:rsidRDefault="003E3E07" w:rsidP="003E3E07">
            <w:pPr>
              <w:rPr>
                <w:rFonts w:cstheme="minorHAnsi"/>
              </w:rPr>
            </w:pPr>
          </w:p>
          <w:p w14:paraId="65350608" w14:textId="77777777" w:rsidR="003E3E07" w:rsidRPr="00CD4C9C" w:rsidRDefault="003E3E07" w:rsidP="003E3E07">
            <w:pPr>
              <w:rPr>
                <w:rFonts w:cstheme="minorHAnsi"/>
              </w:rPr>
            </w:pPr>
            <w:r w:rsidRPr="00CD4C9C">
              <w:rPr>
                <w:rFonts w:cstheme="minorHAnsi"/>
              </w:rPr>
              <w:t xml:space="preserve">Tasumine: </w:t>
            </w:r>
          </w:p>
          <w:p w14:paraId="3E35575E" w14:textId="77777777" w:rsidR="003E3E07" w:rsidRPr="00CD4C9C" w:rsidRDefault="003E3E07" w:rsidP="003E3E07">
            <w:pPr>
              <w:pStyle w:val="Loendilik"/>
              <w:numPr>
                <w:ilvl w:val="0"/>
                <w:numId w:val="4"/>
              </w:numPr>
              <w:spacing w:before="0" w:after="0"/>
              <w:ind w:left="714" w:hanging="357"/>
              <w:rPr>
                <w:rFonts w:asciiTheme="minorHAnsi" w:hAnsiTheme="minorHAnsi" w:cstheme="minorHAnsi"/>
                <w:sz w:val="22"/>
              </w:rPr>
            </w:pPr>
            <w:r w:rsidRPr="00CD4C9C">
              <w:rPr>
                <w:rFonts w:asciiTheme="minorHAnsi" w:hAnsiTheme="minorHAnsi" w:cstheme="minorHAnsi"/>
                <w:sz w:val="22"/>
              </w:rPr>
              <w:t>esimene makse pärast ajakava ja tööplaani esitamist ning kooskõlastamist, avakoosoleku toimumist ning I etapi aruande vastuvõtmist;</w:t>
            </w:r>
          </w:p>
          <w:p w14:paraId="1F6591A9" w14:textId="131BD831" w:rsidR="003E3E07" w:rsidRDefault="003E3E07" w:rsidP="003E3E07">
            <w:pPr>
              <w:pStyle w:val="Loendilik"/>
              <w:numPr>
                <w:ilvl w:val="0"/>
                <w:numId w:val="4"/>
              </w:numPr>
              <w:spacing w:before="0" w:after="0"/>
              <w:ind w:left="714" w:hanging="357"/>
              <w:rPr>
                <w:rFonts w:asciiTheme="minorHAnsi" w:hAnsiTheme="minorHAnsi" w:cstheme="minorHAnsi"/>
                <w:sz w:val="22"/>
              </w:rPr>
            </w:pPr>
            <w:r w:rsidRPr="00CD4C9C">
              <w:rPr>
                <w:rFonts w:asciiTheme="minorHAnsi" w:hAnsiTheme="minorHAnsi" w:cstheme="minorHAnsi"/>
                <w:sz w:val="22"/>
              </w:rPr>
              <w:t xml:space="preserve">teine makse pärast II etapi aruande vastuvõtmist ja </w:t>
            </w:r>
            <w:r w:rsidR="00C35F7A">
              <w:rPr>
                <w:rFonts w:asciiTheme="minorHAnsi" w:hAnsiTheme="minorHAnsi" w:cstheme="minorHAnsi"/>
                <w:sz w:val="22"/>
              </w:rPr>
              <w:t>esimese</w:t>
            </w:r>
            <w:r w:rsidRPr="00CD4C9C">
              <w:rPr>
                <w:rFonts w:asciiTheme="minorHAnsi" w:hAnsiTheme="minorHAnsi" w:cstheme="minorHAnsi"/>
                <w:sz w:val="22"/>
              </w:rPr>
              <w:t xml:space="preserve"> avalikustamisseminari toimumist; </w:t>
            </w:r>
          </w:p>
          <w:p w14:paraId="1691B213" w14:textId="7BE5AEB9" w:rsidR="003E3E07" w:rsidRPr="00CD4C9C" w:rsidRDefault="003E3E07" w:rsidP="003E3E07">
            <w:pPr>
              <w:pStyle w:val="Loendilik"/>
              <w:numPr>
                <w:ilvl w:val="0"/>
                <w:numId w:val="4"/>
              </w:numPr>
              <w:spacing w:before="0" w:after="0"/>
              <w:ind w:left="714" w:hanging="357"/>
              <w:rPr>
                <w:rFonts w:asciiTheme="minorHAnsi" w:hAnsiTheme="minorHAnsi" w:cstheme="minorHAnsi"/>
                <w:sz w:val="22"/>
              </w:rPr>
            </w:pPr>
            <w:r>
              <w:rPr>
                <w:rFonts w:asciiTheme="minorHAnsi" w:hAnsiTheme="minorHAnsi" w:cstheme="minorHAnsi"/>
                <w:sz w:val="22"/>
              </w:rPr>
              <w:t xml:space="preserve">kolmas makse pärast III etapi aruande vastuvõtmist ja </w:t>
            </w:r>
            <w:r w:rsidR="00C35F7A">
              <w:rPr>
                <w:rFonts w:asciiTheme="minorHAnsi" w:hAnsiTheme="minorHAnsi" w:cstheme="minorHAnsi"/>
                <w:sz w:val="22"/>
              </w:rPr>
              <w:t>teise</w:t>
            </w:r>
            <w:r>
              <w:rPr>
                <w:rFonts w:asciiTheme="minorHAnsi" w:hAnsiTheme="minorHAnsi" w:cstheme="minorHAnsi"/>
                <w:sz w:val="22"/>
              </w:rPr>
              <w:t xml:space="preserve"> avalikustamisseminari toimumist;</w:t>
            </w:r>
          </w:p>
          <w:p w14:paraId="6E6946C9" w14:textId="77777777" w:rsidR="003E3E07" w:rsidRPr="00CD4C9C" w:rsidRDefault="003E3E07" w:rsidP="003E3E07">
            <w:pPr>
              <w:pStyle w:val="Loendilik"/>
              <w:numPr>
                <w:ilvl w:val="0"/>
                <w:numId w:val="4"/>
              </w:numPr>
              <w:spacing w:before="0" w:after="0"/>
              <w:ind w:left="714" w:hanging="357"/>
              <w:rPr>
                <w:rFonts w:asciiTheme="minorHAnsi" w:hAnsiTheme="minorHAnsi" w:cstheme="minorHAnsi"/>
                <w:sz w:val="22"/>
              </w:rPr>
            </w:pPr>
            <w:r w:rsidRPr="00CD4C9C">
              <w:rPr>
                <w:rFonts w:asciiTheme="minorHAnsi" w:hAnsiTheme="minorHAnsi" w:cstheme="minorHAnsi"/>
                <w:sz w:val="22"/>
              </w:rPr>
              <w:t>lõppmakse pärast lõpparuande vastuvõtmist ning kõigi ülejäänud tegevuste lõpetamist.</w:t>
            </w:r>
          </w:p>
          <w:p w14:paraId="57CD7C96" w14:textId="77777777" w:rsidR="003E3E07" w:rsidRPr="00CD4C9C" w:rsidRDefault="003E3E07" w:rsidP="003E3E07">
            <w:pPr>
              <w:rPr>
                <w:rFonts w:cstheme="minorHAnsi"/>
                <w:bCs/>
              </w:rPr>
            </w:pPr>
          </w:p>
          <w:p w14:paraId="0131722B" w14:textId="77777777" w:rsidR="003E3E07" w:rsidRPr="005D0BCA" w:rsidRDefault="003E3E07" w:rsidP="003E3E07">
            <w:pPr>
              <w:rPr>
                <w:rFonts w:cstheme="minorHAnsi"/>
                <w:b/>
              </w:rPr>
            </w:pPr>
            <w:r w:rsidRPr="00CD4C9C">
              <w:rPr>
                <w:rFonts w:cstheme="minorHAnsi"/>
                <w:b/>
              </w:rPr>
              <w:t>Intellektuaalomandi õigused</w:t>
            </w:r>
          </w:p>
          <w:p w14:paraId="12A94691" w14:textId="491CEF81" w:rsidR="00AE20C5" w:rsidRPr="00BB6C63" w:rsidRDefault="003E3E07" w:rsidP="00AC644B">
            <w:pPr>
              <w:pStyle w:val="Standard"/>
              <w:tabs>
                <w:tab w:val="left" w:pos="1133"/>
              </w:tabs>
              <w:jc w:val="both"/>
              <w:rPr>
                <w:rFonts w:asciiTheme="minorHAnsi" w:hAnsiTheme="minorHAnsi" w:cstheme="minorHAnsi"/>
                <w:color w:val="000000"/>
                <w:sz w:val="22"/>
                <w:szCs w:val="22"/>
                <w:lang w:val="et-EE" w:eastAsia="et-EE"/>
              </w:rPr>
            </w:pPr>
            <w:r w:rsidRPr="005D0BCA">
              <w:rPr>
                <w:rFonts w:asciiTheme="minorHAnsi" w:hAnsiTheme="minorHAnsi" w:cstheme="minorHAnsi"/>
                <w:color w:val="000000"/>
                <w:sz w:val="22"/>
                <w:szCs w:val="22"/>
                <w:lang w:val="et-EE" w:eastAsia="et-EE"/>
              </w:rPr>
              <w:t>Töö omandiõigus ja varalised autoriõigused lepingu alusel valminud töö suhtes lähevad töö vastu</w:t>
            </w:r>
            <w:r w:rsidRPr="005D0BCA">
              <w:rPr>
                <w:rFonts w:asciiTheme="minorHAnsi" w:hAnsiTheme="minorHAnsi" w:cstheme="minorHAnsi"/>
                <w:color w:val="000000"/>
                <w:sz w:val="22"/>
                <w:szCs w:val="22"/>
                <w:lang w:val="et-EE" w:eastAsia="et-EE"/>
              </w:rPr>
              <w:softHyphen/>
              <w:t>võtmisel üle tellijale.</w:t>
            </w:r>
            <w:r w:rsidRPr="001A06B9">
              <w:rPr>
                <w:lang w:val="et-EE"/>
              </w:rPr>
              <w:t xml:space="preserve"> </w:t>
            </w:r>
            <w:r w:rsidRPr="005D0BCA">
              <w:rPr>
                <w:rFonts w:asciiTheme="minorHAnsi" w:hAnsiTheme="minorHAnsi" w:cstheme="minorHAnsi"/>
                <w:color w:val="000000"/>
                <w:sz w:val="22"/>
                <w:szCs w:val="22"/>
                <w:lang w:val="et-EE" w:eastAsia="et-EE"/>
              </w:rPr>
              <w:t>Tellija annab töövõtjale tasuta lihtlitsentsi töö ja selle tulemuste ning nendega seotud intellektuaalse omandi kasutamiseks edasises teadus- ja arendustöös. Litsents loetakse antuks lepingu sõlmimisega.</w:t>
            </w:r>
          </w:p>
        </w:tc>
      </w:tr>
      <w:tr w:rsidR="00EA35EF" w:rsidRPr="003B77EC" w14:paraId="75867A3B" w14:textId="77777777" w:rsidTr="001F2081">
        <w:tc>
          <w:tcPr>
            <w:tcW w:w="9062" w:type="dxa"/>
            <w:shd w:val="clear" w:color="auto" w:fill="D9D9D9" w:themeFill="background1" w:themeFillShade="D9"/>
          </w:tcPr>
          <w:p w14:paraId="75867A3A" w14:textId="5941E24F" w:rsidR="00EA35EF" w:rsidRPr="003B77EC" w:rsidRDefault="00EA35EF" w:rsidP="00EA35EF">
            <w:pPr>
              <w:rPr>
                <w:rFonts w:ascii="Times New Roman" w:hAnsi="Times New Roman" w:cs="Times New Roman"/>
                <w:b/>
                <w:sz w:val="24"/>
                <w:szCs w:val="24"/>
              </w:rPr>
            </w:pPr>
            <w:r w:rsidRPr="003B77EC">
              <w:rPr>
                <w:rFonts w:ascii="Times New Roman" w:hAnsi="Times New Roman" w:cs="Times New Roman"/>
                <w:b/>
                <w:sz w:val="24"/>
                <w:szCs w:val="24"/>
              </w:rPr>
              <w:lastRenderedPageBreak/>
              <w:t>Oodatav tulemus</w:t>
            </w:r>
            <w:r>
              <w:rPr>
                <w:rFonts w:ascii="Times New Roman" w:hAnsi="Times New Roman" w:cs="Times New Roman"/>
                <w:b/>
                <w:sz w:val="24"/>
                <w:szCs w:val="24"/>
              </w:rPr>
              <w:t>/ väljundid</w:t>
            </w:r>
          </w:p>
        </w:tc>
      </w:tr>
      <w:tr w:rsidR="00EA35EF" w:rsidRPr="003B77EC" w14:paraId="75867A3F" w14:textId="77777777" w:rsidTr="001F2081">
        <w:tc>
          <w:tcPr>
            <w:tcW w:w="9062" w:type="dxa"/>
          </w:tcPr>
          <w:p w14:paraId="4C923D1B" w14:textId="748A1420" w:rsidR="00D3404A" w:rsidRPr="00CD4C9C" w:rsidRDefault="00D3404A" w:rsidP="00D3404A">
            <w:pPr>
              <w:jc w:val="both"/>
            </w:pPr>
            <w:r w:rsidRPr="00CD4C9C">
              <w:rPr>
                <w:b/>
                <w:bCs/>
              </w:rPr>
              <w:t>Töö oodatav tulemus on</w:t>
            </w:r>
            <w:r w:rsidRPr="00CD4C9C">
              <w:t xml:space="preserve"> Eesti tingimustesse sobiva ja IPCC nõuetele vastava Tier 3 määramis</w:t>
            </w:r>
            <w:r w:rsidRPr="00CD4C9C">
              <w:softHyphen/>
              <w:t xml:space="preserve">tasandile vastava </w:t>
            </w:r>
            <w:r>
              <w:t xml:space="preserve">mulla süsinikuvaru muutuste ja KHG voogude hindamise </w:t>
            </w:r>
            <w:r w:rsidRPr="00CD4C9C">
              <w:t>mudeli</w:t>
            </w:r>
            <w:r>
              <w:t>(te)</w:t>
            </w:r>
            <w:r w:rsidRPr="00CD4C9C">
              <w:t xml:space="preserve"> välja</w:t>
            </w:r>
            <w:r>
              <w:softHyphen/>
            </w:r>
            <w:r w:rsidRPr="00CD4C9C">
              <w:t>töötamine</w:t>
            </w:r>
            <w:r w:rsidR="00C35F7A">
              <w:t xml:space="preserve"> ja</w:t>
            </w:r>
            <w:r w:rsidR="008463EA">
              <w:t xml:space="preserve"> valideerimine</w:t>
            </w:r>
            <w:r w:rsidRPr="00CD4C9C">
              <w:t xml:space="preserve"> Eesti KHG inventuuri </w:t>
            </w:r>
            <w:r>
              <w:t>metsamaa</w:t>
            </w:r>
            <w:r w:rsidRPr="00CD4C9C">
              <w:t xml:space="preserve"> kategoori</w:t>
            </w:r>
            <w:r>
              <w:t>as</w:t>
            </w:r>
            <w:r w:rsidRPr="00CD4C9C">
              <w:t xml:space="preserve">. </w:t>
            </w:r>
            <w:r w:rsidR="00F12875">
              <w:t>Ühtlasi peab töö teostaja olema valmis andma rahvusvahelistele audiitoritele täiendavaid ja ammendavaid selgitusi mulla</w:t>
            </w:r>
            <w:r w:rsidR="00F12875">
              <w:softHyphen/>
              <w:t xml:space="preserve">mudeli ja selle rakendatavuse kohta </w:t>
            </w:r>
            <w:r w:rsidR="00C4734E">
              <w:t xml:space="preserve">orienteeruvalt ca 24 töötunni ulatuses </w:t>
            </w:r>
            <w:r w:rsidR="000519FC">
              <w:t xml:space="preserve">ja seda </w:t>
            </w:r>
            <w:r w:rsidR="00F12875">
              <w:t xml:space="preserve">kuni </w:t>
            </w:r>
            <w:r w:rsidR="004161BA">
              <w:t>kahe</w:t>
            </w:r>
            <w:r w:rsidR="00F12875">
              <w:t xml:space="preserve"> aasta jooksul pärast töö üleandmist tellijale</w:t>
            </w:r>
            <w:r w:rsidR="004161BA">
              <w:t xml:space="preserve"> ehk siis k</w:t>
            </w:r>
            <w:r w:rsidR="004161BA" w:rsidRPr="004161BA">
              <w:t xml:space="preserve">uni mudeli põhjal arvestatud </w:t>
            </w:r>
            <w:r w:rsidR="004161BA">
              <w:t xml:space="preserve">KHG </w:t>
            </w:r>
            <w:r w:rsidR="004161BA" w:rsidRPr="004161BA">
              <w:t>heitkoguste riiklik inventuur on läbinud EL ja ÜRO inventuuri auditi ning vastav auditi aruanne on kinnitatud</w:t>
            </w:r>
            <w:r w:rsidR="00F12875">
              <w:t xml:space="preserve">. </w:t>
            </w:r>
          </w:p>
          <w:p w14:paraId="54F4202A" w14:textId="77777777" w:rsidR="00D8537A" w:rsidRPr="000E1492" w:rsidRDefault="00D8537A" w:rsidP="00AD7AA8">
            <w:pPr>
              <w:rPr>
                <w:rFonts w:cstheme="minorHAnsi"/>
              </w:rPr>
            </w:pPr>
          </w:p>
          <w:p w14:paraId="2FE3BDDE" w14:textId="49FEF46F" w:rsidR="00D8537A" w:rsidRPr="00F12875" w:rsidRDefault="00D8537A" w:rsidP="00AD7AA8">
            <w:pPr>
              <w:rPr>
                <w:rFonts w:cstheme="minorHAnsi"/>
                <w:b/>
                <w:bCs/>
              </w:rPr>
            </w:pPr>
            <w:r w:rsidRPr="00F12875">
              <w:rPr>
                <w:rFonts w:cstheme="minorHAnsi"/>
                <w:b/>
                <w:bCs/>
              </w:rPr>
              <w:t>Väljundid:</w:t>
            </w:r>
          </w:p>
          <w:p w14:paraId="1696CFDA" w14:textId="77777777" w:rsidR="00D8537A" w:rsidRPr="000E1492" w:rsidRDefault="00D8537A" w:rsidP="00AD7AA8">
            <w:pPr>
              <w:rPr>
                <w:rFonts w:cstheme="minorHAnsi"/>
              </w:rPr>
            </w:pPr>
          </w:p>
          <w:p w14:paraId="2C6EBCA4" w14:textId="77777777" w:rsidR="00687AD4" w:rsidRPr="00CD4C9C" w:rsidRDefault="00687AD4" w:rsidP="00687AD4">
            <w:pPr>
              <w:jc w:val="both"/>
              <w:rPr>
                <w:rFonts w:cstheme="minorHAnsi"/>
              </w:rPr>
            </w:pPr>
            <w:r w:rsidRPr="00CD4C9C">
              <w:rPr>
                <w:rFonts w:cstheme="minorHAnsi"/>
                <w:b/>
                <w:bCs/>
              </w:rPr>
              <w:t xml:space="preserve">1. Aja- ja tegevuskava </w:t>
            </w:r>
            <w:r w:rsidRPr="00CD4C9C">
              <w:rPr>
                <w:rFonts w:cstheme="minorHAnsi"/>
              </w:rPr>
              <w:t>–</w:t>
            </w:r>
            <w:r w:rsidRPr="00CD4C9C">
              <w:rPr>
                <w:rFonts w:cstheme="minorHAnsi"/>
                <w:b/>
                <w:bCs/>
              </w:rPr>
              <w:t xml:space="preserve"> </w:t>
            </w:r>
            <w:r w:rsidRPr="00CD4C9C">
              <w:rPr>
                <w:rFonts w:cstheme="minorHAnsi"/>
              </w:rPr>
              <w:t xml:space="preserve">realistlik, projekti ajaraami mahtuv aja- ja tegevuskava, sh kirjeldus, millised, mis mahus ja millal teostatakse eeltööd, välitööd, labori-, kameraalsed jm tööd jne. </w:t>
            </w:r>
          </w:p>
          <w:p w14:paraId="2F479767" w14:textId="77777777" w:rsidR="00687AD4" w:rsidRPr="00A02B11" w:rsidRDefault="00687AD4" w:rsidP="00687AD4">
            <w:pPr>
              <w:rPr>
                <w:rFonts w:cstheme="minorHAnsi"/>
                <w:highlight w:val="yellow"/>
              </w:rPr>
            </w:pPr>
          </w:p>
          <w:p w14:paraId="68880A41" w14:textId="77777777" w:rsidR="00687AD4" w:rsidRPr="00CD4C9C" w:rsidRDefault="00687AD4" w:rsidP="00687AD4">
            <w:pPr>
              <w:jc w:val="both"/>
              <w:rPr>
                <w:rFonts w:cstheme="minorHAnsi"/>
                <w:b/>
                <w:bCs/>
              </w:rPr>
            </w:pPr>
            <w:r w:rsidRPr="00CD4C9C">
              <w:rPr>
                <w:rFonts w:cstheme="minorHAnsi"/>
                <w:b/>
                <w:bCs/>
              </w:rPr>
              <w:t>2. Koondatud ja kirjeldatud andmestikud ja metoodikad – teostatud eeltööd ja kirjeldatud I ning vajadusel täpsustatud II etapi aruandes, silmas pidades järgmist:</w:t>
            </w:r>
          </w:p>
          <w:p w14:paraId="45FE5686" w14:textId="77777777" w:rsidR="00687AD4" w:rsidRPr="00CD4C9C" w:rsidRDefault="00687AD4" w:rsidP="00687AD4">
            <w:pPr>
              <w:jc w:val="both"/>
              <w:rPr>
                <w:rFonts w:eastAsia="Times New Roman" w:cstheme="minorHAnsi"/>
                <w:color w:val="000000"/>
              </w:rPr>
            </w:pPr>
            <w:r w:rsidRPr="00CD4C9C">
              <w:rPr>
                <w:rFonts w:cstheme="minorHAnsi"/>
                <w:color w:val="000000"/>
              </w:rPr>
              <w:t>2.</w:t>
            </w:r>
            <w:r>
              <w:rPr>
                <w:rFonts w:cstheme="minorHAnsi"/>
                <w:color w:val="000000"/>
              </w:rPr>
              <w:t>1</w:t>
            </w:r>
            <w:r w:rsidRPr="00CD4C9C">
              <w:rPr>
                <w:rFonts w:cstheme="minorHAnsi"/>
                <w:color w:val="000000"/>
              </w:rPr>
              <w:t>.</w:t>
            </w:r>
            <w:r>
              <w:rPr>
                <w:rFonts w:cstheme="minorHAnsi"/>
                <w:color w:val="000000"/>
              </w:rPr>
              <w:t xml:space="preserve"> </w:t>
            </w:r>
            <w:r w:rsidRPr="00CD4C9C">
              <w:rPr>
                <w:rFonts w:cstheme="minorHAnsi"/>
                <w:color w:val="000000"/>
              </w:rPr>
              <w:t>Andmestike ja metoodikate koondamine ning valik, sh metoodikate ja andmestike välja</w:t>
            </w:r>
            <w:r>
              <w:rPr>
                <w:rFonts w:cstheme="minorHAnsi"/>
                <w:color w:val="000000"/>
              </w:rPr>
              <w:softHyphen/>
            </w:r>
            <w:r w:rsidRPr="00CD4C9C">
              <w:rPr>
                <w:rFonts w:cstheme="minorHAnsi"/>
                <w:color w:val="000000"/>
              </w:rPr>
              <w:t>pakkumine, kirjeldamine ja põhjendamine</w:t>
            </w:r>
            <w:r>
              <w:rPr>
                <w:rFonts w:cstheme="minorHAnsi"/>
                <w:color w:val="000000"/>
              </w:rPr>
              <w:t xml:space="preserve"> ning ühtsesse andmebaasi koondamine</w:t>
            </w:r>
            <w:r w:rsidRPr="00CD4C9C">
              <w:rPr>
                <w:rFonts w:cstheme="minorHAnsi"/>
                <w:color w:val="000000"/>
              </w:rPr>
              <w:t xml:space="preserve">. </w:t>
            </w:r>
            <w:r w:rsidRPr="00CD4C9C">
              <w:rPr>
                <w:rFonts w:cstheme="minorHAnsi"/>
              </w:rPr>
              <w:t>Uuritakse ja võimalusel rakendatakse tehtud töid ning olemas</w:t>
            </w:r>
            <w:r>
              <w:rPr>
                <w:rFonts w:cstheme="minorHAnsi"/>
              </w:rPr>
              <w:softHyphen/>
            </w:r>
            <w:r w:rsidRPr="00CD4C9C">
              <w:rPr>
                <w:rFonts w:cstheme="minorHAnsi"/>
              </w:rPr>
              <w:t xml:space="preserve">olevaid metoodikaid ja metoodilisi soovitusi ning andmestikke. Esitatakse põhjendused ja ülevaade olemasolevate andmestike ja metoodikate </w:t>
            </w:r>
            <w:r w:rsidRPr="00CD4C9C">
              <w:rPr>
                <w:rFonts w:eastAsia="Times New Roman" w:cstheme="minorHAnsi"/>
                <w:color w:val="000000"/>
              </w:rPr>
              <w:t>kasutatavusest ja/või puudustest.</w:t>
            </w:r>
          </w:p>
          <w:p w14:paraId="494A36A2" w14:textId="77777777" w:rsidR="00687AD4" w:rsidRDefault="00687AD4" w:rsidP="00687AD4">
            <w:pPr>
              <w:jc w:val="both"/>
              <w:rPr>
                <w:rFonts w:eastAsia="Times New Roman" w:cstheme="minorHAnsi"/>
                <w:color w:val="000000"/>
              </w:rPr>
            </w:pPr>
            <w:r w:rsidRPr="00CD4C9C">
              <w:rPr>
                <w:rFonts w:eastAsia="Times New Roman" w:cstheme="minorHAnsi"/>
                <w:color w:val="000000"/>
              </w:rPr>
              <w:t>2.</w:t>
            </w:r>
            <w:r>
              <w:rPr>
                <w:rFonts w:eastAsia="Times New Roman" w:cstheme="minorHAnsi"/>
                <w:color w:val="000000"/>
              </w:rPr>
              <w:t>2</w:t>
            </w:r>
            <w:r w:rsidRPr="00CD4C9C">
              <w:rPr>
                <w:rFonts w:eastAsia="Times New Roman" w:cstheme="minorHAnsi"/>
                <w:color w:val="000000"/>
              </w:rPr>
              <w:t>.</w:t>
            </w:r>
            <w:r>
              <w:rPr>
                <w:rFonts w:eastAsia="Times New Roman" w:cstheme="minorHAnsi"/>
                <w:color w:val="000000"/>
              </w:rPr>
              <w:t xml:space="preserve"> GIS analüüs seniste mõõtmiste ja uuringute kohta ning ettepanek täiendavate mõõtmiste läbi</w:t>
            </w:r>
            <w:r>
              <w:rPr>
                <w:rFonts w:eastAsia="Times New Roman" w:cstheme="minorHAnsi"/>
                <w:color w:val="000000"/>
              </w:rPr>
              <w:softHyphen/>
              <w:t>viimiseks ja valimiks.</w:t>
            </w:r>
          </w:p>
          <w:p w14:paraId="3F1ECA88" w14:textId="77777777" w:rsidR="00687AD4" w:rsidRPr="00CD4C9C" w:rsidRDefault="00687AD4" w:rsidP="00687AD4">
            <w:pPr>
              <w:jc w:val="both"/>
              <w:rPr>
                <w:rFonts w:eastAsia="Times New Roman" w:cstheme="minorHAnsi"/>
                <w:color w:val="000000"/>
              </w:rPr>
            </w:pPr>
            <w:r>
              <w:rPr>
                <w:rFonts w:eastAsia="Times New Roman" w:cstheme="minorHAnsi"/>
                <w:color w:val="000000"/>
              </w:rPr>
              <w:t xml:space="preserve">2.3. </w:t>
            </w:r>
            <w:r w:rsidRPr="00CD4C9C">
              <w:rPr>
                <w:rFonts w:eastAsia="Times New Roman" w:cstheme="minorHAnsi"/>
                <w:color w:val="000000"/>
              </w:rPr>
              <w:t xml:space="preserve">Analüüs ja ettepanek mullamudelite rakendamise kohta, sh hinnates erinevate mudelite sobivust Eesti tingimustele ja vajalike sisendparameetrite kättesaadavust. </w:t>
            </w:r>
          </w:p>
          <w:p w14:paraId="1B4C898B" w14:textId="77777777" w:rsidR="00687AD4" w:rsidRDefault="00687AD4" w:rsidP="00687AD4">
            <w:pPr>
              <w:jc w:val="both"/>
              <w:rPr>
                <w:rFonts w:cstheme="minorHAnsi"/>
                <w:color w:val="000000"/>
              </w:rPr>
            </w:pPr>
          </w:p>
          <w:p w14:paraId="62454D92" w14:textId="77777777" w:rsidR="00687AD4" w:rsidRPr="00722308" w:rsidRDefault="00687AD4" w:rsidP="00687AD4">
            <w:pPr>
              <w:jc w:val="both"/>
              <w:rPr>
                <w:rFonts w:cstheme="minorHAnsi"/>
                <w:b/>
                <w:bCs/>
                <w:color w:val="000000"/>
              </w:rPr>
            </w:pPr>
            <w:r w:rsidRPr="00722308">
              <w:rPr>
                <w:rFonts w:cstheme="minorHAnsi"/>
                <w:b/>
                <w:bCs/>
                <w:color w:val="000000"/>
              </w:rPr>
              <w:t>3. Välitööd ja mõõtmistulemused valimi osas:</w:t>
            </w:r>
          </w:p>
          <w:p w14:paraId="17BDBD19" w14:textId="77777777" w:rsidR="00687AD4" w:rsidRPr="00722308" w:rsidRDefault="00687AD4" w:rsidP="00687AD4">
            <w:pPr>
              <w:jc w:val="both"/>
              <w:rPr>
                <w:rFonts w:cstheme="minorHAnsi"/>
                <w:color w:val="000000"/>
              </w:rPr>
            </w:pPr>
            <w:r w:rsidRPr="00722308">
              <w:rPr>
                <w:rFonts w:cstheme="minorHAnsi"/>
                <w:color w:val="000000"/>
              </w:rPr>
              <w:t>3.1. GIS analüüsil ja varasemate andmestike koondamisel põhinev lõplik valimi kirjeldus ja ülevaade koos täiendavate selgituste ja põhjendustega valimi suuruse, esinduslikkuse, puuduste jm osas.</w:t>
            </w:r>
          </w:p>
          <w:p w14:paraId="650C2080" w14:textId="77777777" w:rsidR="00687AD4" w:rsidRPr="00722308" w:rsidRDefault="00687AD4" w:rsidP="00687AD4">
            <w:pPr>
              <w:jc w:val="both"/>
              <w:rPr>
                <w:rFonts w:cstheme="minorHAnsi"/>
                <w:color w:val="000000"/>
              </w:rPr>
            </w:pPr>
            <w:r w:rsidRPr="00722308">
              <w:rPr>
                <w:rFonts w:cstheme="minorHAnsi"/>
                <w:color w:val="000000"/>
              </w:rPr>
              <w:t xml:space="preserve">3.2. Põhjalik kirjeldus ja ülevaade välitöödest, sh lõplik valim, ajakava, metoodika jne. </w:t>
            </w:r>
          </w:p>
          <w:p w14:paraId="1D47C617" w14:textId="77777777" w:rsidR="00687AD4" w:rsidRPr="00722308" w:rsidRDefault="00687AD4" w:rsidP="00687AD4">
            <w:pPr>
              <w:jc w:val="both"/>
              <w:rPr>
                <w:rFonts w:cstheme="minorHAnsi"/>
                <w:color w:val="000000"/>
              </w:rPr>
            </w:pPr>
            <w:r w:rsidRPr="00722308">
              <w:rPr>
                <w:rFonts w:cstheme="minorHAnsi"/>
                <w:color w:val="000000"/>
              </w:rPr>
              <w:t>3.3. Välitööde mõõtmistulemused ja andmebaasi täiendamine vastavalt mõõtmistulemustele; koondatud andmete esmane analüüs, sh tuues välja võimalikud seosed ja algoritmid mullamudeli sisend</w:t>
            </w:r>
            <w:r w:rsidRPr="00722308">
              <w:rPr>
                <w:rFonts w:cstheme="minorHAnsi"/>
                <w:color w:val="000000"/>
              </w:rPr>
              <w:softHyphen/>
              <w:t>parameetrite ja KHG voogude vahel.</w:t>
            </w:r>
          </w:p>
          <w:p w14:paraId="65870FEF" w14:textId="77777777" w:rsidR="00687AD4" w:rsidRPr="00722308" w:rsidRDefault="00687AD4" w:rsidP="00687AD4">
            <w:pPr>
              <w:jc w:val="both"/>
              <w:rPr>
                <w:rFonts w:ascii="Calibri" w:hAnsi="Calibri" w:cs="Calibri"/>
                <w:color w:val="000000"/>
              </w:rPr>
            </w:pPr>
          </w:p>
          <w:p w14:paraId="097B2AC8" w14:textId="77777777" w:rsidR="00687AD4" w:rsidRPr="00722308" w:rsidRDefault="00687AD4" w:rsidP="00687AD4">
            <w:pPr>
              <w:jc w:val="both"/>
              <w:rPr>
                <w:rFonts w:ascii="Calibri" w:hAnsi="Calibri" w:cs="Calibri"/>
                <w:color w:val="000000"/>
              </w:rPr>
            </w:pPr>
            <w:r w:rsidRPr="00722308">
              <w:rPr>
                <w:rFonts w:ascii="Calibri" w:hAnsi="Calibri" w:cs="Calibri"/>
                <w:b/>
                <w:bCs/>
                <w:color w:val="000000"/>
              </w:rPr>
              <w:t xml:space="preserve">4. Lõpparuanne </w:t>
            </w:r>
            <w:r w:rsidRPr="00722308">
              <w:rPr>
                <w:rFonts w:ascii="Calibri" w:hAnsi="Calibri" w:cs="Calibri"/>
                <w:color w:val="000000"/>
              </w:rPr>
              <w:t>– teksti kujul aruanne, kus</w:t>
            </w:r>
            <w:r w:rsidRPr="00722308">
              <w:rPr>
                <w:rFonts w:ascii="Calibri" w:hAnsi="Calibri" w:cs="Calibri"/>
                <w:b/>
                <w:bCs/>
                <w:color w:val="000000"/>
              </w:rPr>
              <w:t xml:space="preserve"> </w:t>
            </w:r>
            <w:r w:rsidRPr="00722308">
              <w:rPr>
                <w:rFonts w:ascii="Calibri" w:hAnsi="Calibri" w:cs="Calibri"/>
                <w:color w:val="000000"/>
              </w:rPr>
              <w:t>on esitatud vähemalt järgmine info:</w:t>
            </w:r>
          </w:p>
          <w:p w14:paraId="5524DDCC" w14:textId="77777777" w:rsidR="00687AD4" w:rsidRPr="00722308" w:rsidRDefault="00687AD4" w:rsidP="00687AD4">
            <w:pPr>
              <w:jc w:val="both"/>
              <w:rPr>
                <w:rFonts w:ascii="Calibri" w:hAnsi="Calibri" w:cs="Calibri"/>
                <w:color w:val="000000"/>
              </w:rPr>
            </w:pPr>
            <w:r w:rsidRPr="00722308">
              <w:rPr>
                <w:rFonts w:ascii="Calibri" w:hAnsi="Calibri" w:cs="Calibri"/>
                <w:color w:val="000000"/>
              </w:rPr>
              <w:t>4.1. I, II ja III etapi aruannete sisu vajadusel täiendatuna;</w:t>
            </w:r>
          </w:p>
          <w:p w14:paraId="025DBC38" w14:textId="77777777" w:rsidR="00687AD4" w:rsidRPr="00722308" w:rsidRDefault="00687AD4" w:rsidP="00687AD4">
            <w:pPr>
              <w:jc w:val="both"/>
              <w:rPr>
                <w:rFonts w:ascii="Calibri" w:hAnsi="Calibri" w:cs="Calibri"/>
                <w:color w:val="000000"/>
              </w:rPr>
            </w:pPr>
            <w:r w:rsidRPr="00722308">
              <w:rPr>
                <w:rFonts w:ascii="Calibri" w:hAnsi="Calibri" w:cs="Calibri"/>
                <w:color w:val="000000"/>
              </w:rPr>
              <w:t>4.2. metoodikate täpsed kirjeldused;</w:t>
            </w:r>
          </w:p>
          <w:p w14:paraId="610A7367" w14:textId="77777777" w:rsidR="00687AD4" w:rsidRPr="00722308" w:rsidRDefault="00687AD4" w:rsidP="00687AD4">
            <w:pPr>
              <w:jc w:val="both"/>
              <w:rPr>
                <w:rFonts w:ascii="Calibri" w:hAnsi="Calibri" w:cs="Calibri"/>
                <w:color w:val="000000"/>
              </w:rPr>
            </w:pPr>
            <w:r w:rsidRPr="00722308">
              <w:rPr>
                <w:rFonts w:ascii="Calibri" w:hAnsi="Calibri" w:cs="Calibri"/>
                <w:color w:val="000000"/>
              </w:rPr>
              <w:t xml:space="preserve">4.3. detailsed mõõtmistulemused ja esmased hinnangud; </w:t>
            </w:r>
          </w:p>
          <w:p w14:paraId="68FA2610" w14:textId="1AED8633" w:rsidR="00687AD4" w:rsidRPr="00722308" w:rsidRDefault="00687AD4" w:rsidP="00687AD4">
            <w:pPr>
              <w:jc w:val="both"/>
              <w:rPr>
                <w:rFonts w:ascii="Calibri" w:hAnsi="Calibri" w:cs="Calibri"/>
                <w:color w:val="000000"/>
              </w:rPr>
            </w:pPr>
            <w:r w:rsidRPr="00722308">
              <w:rPr>
                <w:rFonts w:ascii="Calibri" w:hAnsi="Calibri" w:cs="Calibri"/>
                <w:color w:val="000000"/>
              </w:rPr>
              <w:t xml:space="preserve">4.4. ettepanek mullamudeli </w:t>
            </w:r>
            <w:r>
              <w:rPr>
                <w:rFonts w:ascii="Calibri" w:hAnsi="Calibri" w:cs="Calibri"/>
                <w:color w:val="000000"/>
              </w:rPr>
              <w:t xml:space="preserve">ja/või riiklike eriheitetegurite kasutuselevõtu </w:t>
            </w:r>
            <w:r w:rsidRPr="00722308">
              <w:rPr>
                <w:rFonts w:ascii="Calibri" w:hAnsi="Calibri" w:cs="Calibri"/>
                <w:color w:val="000000"/>
              </w:rPr>
              <w:t xml:space="preserve">osas, sh </w:t>
            </w:r>
            <w:r>
              <w:rPr>
                <w:rFonts w:ascii="Calibri" w:hAnsi="Calibri" w:cs="Calibri"/>
                <w:color w:val="000000"/>
              </w:rPr>
              <w:t xml:space="preserve">mudeli sobivuse </w:t>
            </w:r>
            <w:r w:rsidRPr="00722308">
              <w:rPr>
                <w:rFonts w:ascii="Calibri" w:hAnsi="Calibri" w:cs="Calibri"/>
                <w:color w:val="000000"/>
              </w:rPr>
              <w:t>analüüs, valideerimine ja ettepanekud sisendparameetrite, mudelite ja koefitsientide osas;</w:t>
            </w:r>
          </w:p>
          <w:p w14:paraId="5F931704" w14:textId="77777777" w:rsidR="00687AD4" w:rsidRPr="00722308" w:rsidRDefault="00687AD4" w:rsidP="00687AD4">
            <w:pPr>
              <w:jc w:val="both"/>
              <w:rPr>
                <w:rFonts w:ascii="Calibri" w:hAnsi="Calibri" w:cs="Calibri"/>
                <w:color w:val="000000"/>
              </w:rPr>
            </w:pPr>
            <w:r w:rsidRPr="00722308">
              <w:rPr>
                <w:rFonts w:ascii="Calibri" w:hAnsi="Calibri" w:cs="Calibri"/>
                <w:color w:val="000000"/>
              </w:rPr>
              <w:t>4.5. ettepanek mudeli kohandamiseks ajalooliste andmete osas;</w:t>
            </w:r>
          </w:p>
          <w:p w14:paraId="28E6E12D" w14:textId="77777777" w:rsidR="00687AD4" w:rsidRPr="00722308" w:rsidRDefault="00687AD4" w:rsidP="00687AD4">
            <w:pPr>
              <w:jc w:val="both"/>
              <w:rPr>
                <w:rFonts w:ascii="Calibri" w:hAnsi="Calibri" w:cs="Calibri"/>
                <w:color w:val="000000"/>
              </w:rPr>
            </w:pPr>
            <w:r w:rsidRPr="00722308">
              <w:rPr>
                <w:rFonts w:ascii="Calibri" w:hAnsi="Calibri" w:cs="Calibri"/>
                <w:color w:val="000000"/>
              </w:rPr>
              <w:t>4.6. loodud metoodikate ja tulemite täpsus- ja veahinnangud, ülevaade töö käigus esinenud probleemidest, nt lünkadest andmestikes, tehnilistest probleemidest jne;</w:t>
            </w:r>
          </w:p>
          <w:p w14:paraId="3C594454" w14:textId="23714A31" w:rsidR="00687AD4" w:rsidRDefault="00687AD4" w:rsidP="00687AD4">
            <w:pPr>
              <w:jc w:val="both"/>
              <w:rPr>
                <w:rFonts w:ascii="Calibri" w:hAnsi="Calibri" w:cs="Calibri"/>
                <w:color w:val="000000"/>
              </w:rPr>
            </w:pPr>
            <w:r w:rsidRPr="00722308">
              <w:rPr>
                <w:rFonts w:ascii="Calibri" w:hAnsi="Calibri" w:cs="Calibri"/>
                <w:color w:val="000000"/>
              </w:rPr>
              <w:t>4.7. soovitused projektijärgseks ajaks, sh jätkusuutlikkuse tagamiseks, riiklikuks seireks jne ning jätku</w:t>
            </w:r>
            <w:r w:rsidR="000E1492">
              <w:rPr>
                <w:rFonts w:ascii="Calibri" w:hAnsi="Calibri" w:cs="Calibri"/>
                <w:color w:val="000000"/>
              </w:rPr>
              <w:softHyphen/>
            </w:r>
            <w:r w:rsidRPr="00722308">
              <w:rPr>
                <w:rFonts w:ascii="Calibri" w:hAnsi="Calibri" w:cs="Calibri"/>
                <w:color w:val="000000"/>
              </w:rPr>
              <w:t>tööde vajadused.</w:t>
            </w:r>
          </w:p>
          <w:p w14:paraId="447FC25B" w14:textId="77777777" w:rsidR="00687AD4" w:rsidRDefault="00687AD4" w:rsidP="00687AD4">
            <w:pPr>
              <w:jc w:val="both"/>
              <w:rPr>
                <w:rFonts w:ascii="Calibri" w:hAnsi="Calibri" w:cs="Calibri"/>
                <w:color w:val="000000"/>
              </w:rPr>
            </w:pPr>
          </w:p>
          <w:p w14:paraId="20DD187C" w14:textId="77777777" w:rsidR="00687AD4" w:rsidRPr="00722308" w:rsidRDefault="00687AD4" w:rsidP="00687AD4">
            <w:pPr>
              <w:jc w:val="both"/>
              <w:rPr>
                <w:rFonts w:ascii="Calibri" w:hAnsi="Calibri" w:cs="Calibri"/>
                <w:b/>
                <w:bCs/>
                <w:color w:val="000000"/>
              </w:rPr>
            </w:pPr>
            <w:r>
              <w:rPr>
                <w:rFonts w:ascii="Calibri" w:hAnsi="Calibri" w:cs="Calibri"/>
                <w:b/>
                <w:bCs/>
                <w:color w:val="000000"/>
              </w:rPr>
              <w:t>5. Rakendusvalmis mullamudel(id) koos ettepanekuga riikliku seire parendamiseks.</w:t>
            </w:r>
          </w:p>
          <w:p w14:paraId="75867A3E" w14:textId="5F3CD10F" w:rsidR="00F1149B" w:rsidRPr="00F1149B" w:rsidRDefault="00F1149B" w:rsidP="00AD7AA8">
            <w:pPr>
              <w:rPr>
                <w:rFonts w:cstheme="minorHAnsi"/>
                <w:b/>
                <w:bCs/>
              </w:rPr>
            </w:pPr>
          </w:p>
        </w:tc>
      </w:tr>
    </w:tbl>
    <w:p w14:paraId="448F8BF1" w14:textId="77777777" w:rsidR="00463C3A" w:rsidRDefault="00463C3A" w:rsidP="00EA35EF">
      <w:pPr>
        <w:rPr>
          <w:rFonts w:ascii="Times New Roman" w:hAnsi="Times New Roman"/>
          <w:szCs w:val="24"/>
          <w:highlight w:val="yellow"/>
        </w:rPr>
      </w:pPr>
    </w:p>
    <w:p w14:paraId="0A2D510B" w14:textId="77777777" w:rsidR="00AC30CA" w:rsidRDefault="00AC30CA">
      <w:pPr>
        <w:rPr>
          <w:rFonts w:cstheme="minorHAnsi"/>
        </w:rPr>
      </w:pPr>
      <w:r>
        <w:rPr>
          <w:rFonts w:cstheme="minorHAnsi"/>
        </w:rPr>
        <w:br w:type="page"/>
      </w:r>
    </w:p>
    <w:p w14:paraId="6C50ADE1" w14:textId="647C2892" w:rsidR="00463C3A" w:rsidRPr="00C601C5" w:rsidRDefault="00463C3A" w:rsidP="001819B7">
      <w:pPr>
        <w:spacing w:after="0" w:line="240" w:lineRule="auto"/>
        <w:rPr>
          <w:rFonts w:cstheme="minorHAnsi"/>
        </w:rPr>
      </w:pPr>
      <w:r w:rsidRPr="00C601C5">
        <w:rPr>
          <w:rFonts w:cstheme="minorHAnsi"/>
        </w:rPr>
        <w:lastRenderedPageBreak/>
        <w:t xml:space="preserve">Lähteülesande lisad: </w:t>
      </w:r>
    </w:p>
    <w:p w14:paraId="2382DE59" w14:textId="77777777" w:rsidR="00A4093E" w:rsidRPr="00A4093E" w:rsidRDefault="00A4093E" w:rsidP="00A4093E">
      <w:pPr>
        <w:pStyle w:val="Loendilik"/>
        <w:numPr>
          <w:ilvl w:val="0"/>
          <w:numId w:val="11"/>
        </w:numPr>
        <w:spacing w:after="0"/>
        <w:rPr>
          <w:rFonts w:asciiTheme="minorHAnsi" w:hAnsiTheme="minorHAnsi" w:cstheme="minorHAnsi"/>
          <w:sz w:val="22"/>
        </w:rPr>
      </w:pPr>
      <w:r w:rsidRPr="00A4093E">
        <w:rPr>
          <w:rFonts w:asciiTheme="minorHAnsi" w:hAnsiTheme="minorHAnsi" w:cstheme="minorHAnsi"/>
          <w:sz w:val="22"/>
        </w:rPr>
        <w:t>Hindamis- ja valikumenetluse juhend ja hindamiskriteeriumid, Lisa 1</w:t>
      </w:r>
    </w:p>
    <w:p w14:paraId="6E98D38C" w14:textId="77777777" w:rsidR="00A4093E" w:rsidRPr="00A4093E" w:rsidRDefault="00A4093E" w:rsidP="00A4093E">
      <w:pPr>
        <w:pStyle w:val="Loendilik"/>
        <w:numPr>
          <w:ilvl w:val="0"/>
          <w:numId w:val="11"/>
        </w:numPr>
        <w:spacing w:after="0"/>
        <w:rPr>
          <w:rFonts w:asciiTheme="minorHAnsi" w:hAnsiTheme="minorHAnsi" w:cstheme="minorHAnsi"/>
          <w:sz w:val="22"/>
        </w:rPr>
      </w:pPr>
      <w:r w:rsidRPr="00A4093E">
        <w:rPr>
          <w:rFonts w:asciiTheme="minorHAnsi" w:hAnsiTheme="minorHAnsi" w:cstheme="minorHAnsi"/>
          <w:sz w:val="22"/>
        </w:rPr>
        <w:t>Projekti juhtkomisjoni töökord (näidis, koostöös juhtkomisjoniga võib seda muuta), Lisa 2</w:t>
      </w:r>
    </w:p>
    <w:p w14:paraId="77F88C2E" w14:textId="77777777" w:rsidR="00A4093E" w:rsidRPr="00A4093E" w:rsidRDefault="00A4093E" w:rsidP="00A4093E">
      <w:pPr>
        <w:pStyle w:val="Loendilik"/>
        <w:numPr>
          <w:ilvl w:val="0"/>
          <w:numId w:val="11"/>
        </w:numPr>
        <w:spacing w:after="0"/>
        <w:rPr>
          <w:rFonts w:asciiTheme="minorHAnsi" w:hAnsiTheme="minorHAnsi" w:cstheme="minorHAnsi"/>
          <w:sz w:val="22"/>
        </w:rPr>
      </w:pPr>
      <w:r w:rsidRPr="00A4093E">
        <w:rPr>
          <w:rFonts w:asciiTheme="minorHAnsi" w:hAnsiTheme="minorHAnsi" w:cstheme="minorHAnsi"/>
          <w:sz w:val="22"/>
        </w:rPr>
        <w:t>Ajakava Gantti tabelina (vabatahtlik näidis), Lisa 3</w:t>
      </w:r>
    </w:p>
    <w:p w14:paraId="1526B753" w14:textId="77777777" w:rsidR="00A4093E" w:rsidRPr="00A4093E" w:rsidRDefault="00A4093E" w:rsidP="00A4093E">
      <w:pPr>
        <w:pStyle w:val="Loendilik"/>
        <w:numPr>
          <w:ilvl w:val="0"/>
          <w:numId w:val="11"/>
        </w:numPr>
        <w:spacing w:after="0"/>
        <w:rPr>
          <w:rFonts w:asciiTheme="minorHAnsi" w:hAnsiTheme="minorHAnsi" w:cstheme="minorHAnsi"/>
          <w:sz w:val="22"/>
        </w:rPr>
      </w:pPr>
      <w:r w:rsidRPr="00A4093E">
        <w:rPr>
          <w:rFonts w:asciiTheme="minorHAnsi" w:hAnsiTheme="minorHAnsi" w:cstheme="minorHAnsi"/>
          <w:sz w:val="22"/>
        </w:rPr>
        <w:t>Kuluaruande vorm (eelnõu, koostöös tellijaga võib seda muuta), Lisa 4</w:t>
      </w:r>
    </w:p>
    <w:p w14:paraId="0953B350" w14:textId="77777777" w:rsidR="00A4093E" w:rsidRPr="00A4093E" w:rsidRDefault="00A4093E" w:rsidP="00A4093E">
      <w:pPr>
        <w:pStyle w:val="Loendilik"/>
        <w:numPr>
          <w:ilvl w:val="0"/>
          <w:numId w:val="11"/>
        </w:numPr>
        <w:spacing w:after="0"/>
        <w:rPr>
          <w:rFonts w:asciiTheme="minorHAnsi" w:hAnsiTheme="minorHAnsi" w:cstheme="minorHAnsi"/>
          <w:sz w:val="22"/>
        </w:rPr>
      </w:pPr>
      <w:r w:rsidRPr="00A4093E">
        <w:rPr>
          <w:rFonts w:asciiTheme="minorHAnsi" w:hAnsiTheme="minorHAnsi" w:cstheme="minorHAnsi"/>
          <w:sz w:val="22"/>
        </w:rPr>
        <w:t>Vahe- ja lõpparuande vorm (eelnõu, koostöös juhtkomisjoniga võib seda muuta), Lisa 5</w:t>
      </w:r>
    </w:p>
    <w:p w14:paraId="6B12B477" w14:textId="38F22984" w:rsidR="00A4093E" w:rsidRPr="00A4093E" w:rsidRDefault="00A4093E" w:rsidP="00A4093E">
      <w:pPr>
        <w:pStyle w:val="Loendilik"/>
        <w:numPr>
          <w:ilvl w:val="0"/>
          <w:numId w:val="11"/>
        </w:numPr>
        <w:spacing w:after="0"/>
        <w:rPr>
          <w:rFonts w:asciiTheme="minorHAnsi" w:hAnsiTheme="minorHAnsi" w:cstheme="minorHAnsi"/>
          <w:sz w:val="22"/>
        </w:rPr>
      </w:pPr>
      <w:r w:rsidRPr="00A4093E">
        <w:rPr>
          <w:rFonts w:asciiTheme="minorHAnsi" w:hAnsiTheme="minorHAnsi" w:cstheme="minorHAnsi"/>
          <w:sz w:val="22"/>
        </w:rPr>
        <w:t>Töövõtulepingu eelnõu, Lisa 6</w:t>
      </w:r>
    </w:p>
    <w:p w14:paraId="415EC8F8" w14:textId="77777777" w:rsidR="00463C3A" w:rsidRPr="001819B7" w:rsidRDefault="00463C3A" w:rsidP="001819B7">
      <w:pPr>
        <w:spacing w:after="0" w:line="240" w:lineRule="auto"/>
        <w:rPr>
          <w:rFonts w:ascii="Times New Roman" w:hAnsi="Times New Roman"/>
          <w:highlight w:val="yellow"/>
        </w:rPr>
      </w:pPr>
    </w:p>
    <w:sectPr w:rsidR="00463C3A" w:rsidRPr="001819B7" w:rsidSect="0007479B">
      <w:headerReference w:type="default" r:id="rId11"/>
      <w:pgSz w:w="11906" w:h="16838"/>
      <w:pgMar w:top="83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17EC9" w14:textId="77777777" w:rsidR="00AC23B3" w:rsidRDefault="00AC23B3" w:rsidP="00AD0E48">
      <w:pPr>
        <w:spacing w:after="0" w:line="240" w:lineRule="auto"/>
      </w:pPr>
      <w:r>
        <w:separator/>
      </w:r>
    </w:p>
  </w:endnote>
  <w:endnote w:type="continuationSeparator" w:id="0">
    <w:p w14:paraId="552E41D0" w14:textId="77777777" w:rsidR="00AC23B3" w:rsidRDefault="00AC23B3" w:rsidP="00AD0E48">
      <w:pPr>
        <w:spacing w:after="0" w:line="240" w:lineRule="auto"/>
      </w:pPr>
      <w:r>
        <w:continuationSeparator/>
      </w:r>
    </w:p>
  </w:endnote>
  <w:endnote w:type="continuationNotice" w:id="1">
    <w:p w14:paraId="0C08D9DB" w14:textId="77777777" w:rsidR="00AC23B3" w:rsidRDefault="00AC23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horndale AMT">
    <w:altName w:val="Times New Roman"/>
    <w:charset w:val="00"/>
    <w:family w:val="roman"/>
    <w:pitch w:val="variable"/>
    <w:sig w:usb0="00000007"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9CAD" w14:textId="77777777" w:rsidR="00AC23B3" w:rsidRDefault="00AC23B3" w:rsidP="00AD0E48">
      <w:pPr>
        <w:spacing w:after="0" w:line="240" w:lineRule="auto"/>
      </w:pPr>
      <w:r>
        <w:separator/>
      </w:r>
    </w:p>
  </w:footnote>
  <w:footnote w:type="continuationSeparator" w:id="0">
    <w:p w14:paraId="18EA360D" w14:textId="77777777" w:rsidR="00AC23B3" w:rsidRDefault="00AC23B3" w:rsidP="00AD0E48">
      <w:pPr>
        <w:spacing w:after="0" w:line="240" w:lineRule="auto"/>
      </w:pPr>
      <w:r>
        <w:continuationSeparator/>
      </w:r>
    </w:p>
  </w:footnote>
  <w:footnote w:type="continuationNotice" w:id="1">
    <w:p w14:paraId="61EC71C1" w14:textId="77777777" w:rsidR="00AC23B3" w:rsidRDefault="00AC23B3">
      <w:pPr>
        <w:spacing w:after="0" w:line="240" w:lineRule="auto"/>
      </w:pPr>
    </w:p>
  </w:footnote>
  <w:footnote w:id="2">
    <w:p w14:paraId="516B7303" w14:textId="78AF8F77" w:rsidR="00EC4824" w:rsidRDefault="00EC4824" w:rsidP="00EC4824">
      <w:pPr>
        <w:pStyle w:val="Allmrkusetekst"/>
      </w:pPr>
      <w:r>
        <w:rPr>
          <w:rStyle w:val="Allmrkuseviide"/>
        </w:rPr>
        <w:footnoteRef/>
      </w:r>
      <w:r>
        <w:t xml:space="preserve"> </w:t>
      </w:r>
      <w:hyperlink r:id="rId1" w:history="1">
        <w:r w:rsidRPr="00E21316">
          <w:rPr>
            <w:rStyle w:val="Hperlink"/>
          </w:rPr>
          <w:t>https://eur-lex.europa.eu/legal-content/EN/TXT/?uri=CELEX%3A02018R0841-20230511</w:t>
        </w:r>
      </w:hyperlink>
      <w:r>
        <w:t xml:space="preserve"> </w:t>
      </w:r>
    </w:p>
  </w:footnote>
  <w:footnote w:id="3">
    <w:p w14:paraId="639959C8" w14:textId="657FEC29" w:rsidR="00EC4824" w:rsidRDefault="00EC4824">
      <w:pPr>
        <w:pStyle w:val="Allmrkusetekst"/>
      </w:pPr>
      <w:r>
        <w:rPr>
          <w:rStyle w:val="Allmrkuseviide"/>
        </w:rPr>
        <w:footnoteRef/>
      </w:r>
      <w:r>
        <w:t xml:space="preserve"> </w:t>
      </w:r>
      <w:hyperlink r:id="rId2" w:history="1">
        <w:r w:rsidRPr="00E21316">
          <w:rPr>
            <w:rStyle w:val="Hperlink"/>
          </w:rPr>
          <w:t>https://eur-lex.europa.eu/legal-content/EN/TXT/?uri=CELEX%3A02018R1999-20231120&amp;qid=1735831630164</w:t>
        </w:r>
      </w:hyperlink>
      <w:r>
        <w:t xml:space="preserve"> </w:t>
      </w:r>
    </w:p>
  </w:footnote>
  <w:footnote w:id="4">
    <w:p w14:paraId="49F4D353" w14:textId="2D2FE5B9" w:rsidR="00EC4824" w:rsidRDefault="00EC4824">
      <w:pPr>
        <w:pStyle w:val="Allmrkusetekst"/>
      </w:pPr>
      <w:r>
        <w:rPr>
          <w:rStyle w:val="Allmrkuseviide"/>
        </w:rPr>
        <w:footnoteRef/>
      </w:r>
      <w:r>
        <w:t xml:space="preserve"> </w:t>
      </w:r>
      <w:hyperlink r:id="rId3" w:history="1">
        <w:r w:rsidRPr="00E21316">
          <w:rPr>
            <w:rStyle w:val="Hperlink"/>
          </w:rPr>
          <w:t>https://eur-lex.europa.eu/legal-content/EN/TXT/?uri=CELEX%3A52023PC0728</w:t>
        </w:r>
      </w:hyperlink>
      <w:r>
        <w:t xml:space="preserve"> </w:t>
      </w:r>
    </w:p>
  </w:footnote>
  <w:footnote w:id="5">
    <w:p w14:paraId="0347C6B4" w14:textId="7267BC77" w:rsidR="00EC4824" w:rsidRDefault="00EC4824">
      <w:pPr>
        <w:pStyle w:val="Allmrkusetekst"/>
      </w:pPr>
      <w:r>
        <w:rPr>
          <w:rStyle w:val="Allmrkuseviide"/>
        </w:rPr>
        <w:footnoteRef/>
      </w:r>
      <w:r>
        <w:t xml:space="preserve"> </w:t>
      </w:r>
      <w:hyperlink r:id="rId4" w:history="1">
        <w:r w:rsidRPr="00E21316">
          <w:rPr>
            <w:rStyle w:val="Hperlink"/>
          </w:rPr>
          <w:t>https://eur-lex.europa.eu/legal-content/EN/TXT/?uri=CELEX%3A32024R1991&amp;qid=1735831359178</w:t>
        </w:r>
      </w:hyperlink>
      <w:r>
        <w:t xml:space="preserve"> </w:t>
      </w:r>
    </w:p>
  </w:footnote>
  <w:footnote w:id="6">
    <w:p w14:paraId="31B5648B" w14:textId="59C68E77" w:rsidR="00EC4824" w:rsidRDefault="00EC4824">
      <w:pPr>
        <w:pStyle w:val="Allmrkusetekst"/>
      </w:pPr>
      <w:r>
        <w:rPr>
          <w:rStyle w:val="Allmrkuseviide"/>
        </w:rPr>
        <w:footnoteRef/>
      </w:r>
      <w:r>
        <w:t xml:space="preserve"> </w:t>
      </w:r>
      <w:hyperlink r:id="rId5" w:history="1">
        <w:r w:rsidRPr="00E21316">
          <w:rPr>
            <w:rStyle w:val="Hperlink"/>
          </w:rPr>
          <w:t>https://eur-lex.europa.eu/legal-content/EN/TXT/?uri=CELEX:52023PC0416</w:t>
        </w:r>
      </w:hyperlink>
      <w:r>
        <w:t xml:space="preserve"> </w:t>
      </w:r>
    </w:p>
  </w:footnote>
  <w:footnote w:id="7">
    <w:p w14:paraId="21401FED" w14:textId="77777777" w:rsidR="008B1790" w:rsidRDefault="008B1790" w:rsidP="008B1790">
      <w:pPr>
        <w:pStyle w:val="Allmrkusetekst"/>
      </w:pPr>
      <w:r>
        <w:rPr>
          <w:rStyle w:val="Allmrkuseviide"/>
        </w:rPr>
        <w:footnoteRef/>
      </w:r>
      <w:r>
        <w:t xml:space="preserve"> Maakasutuse, maakasutuse muutuse ja metsanduse sektor; lühend tuletatud inglise keelest: Land Use, Land Use Change and Forestry</w:t>
      </w:r>
    </w:p>
  </w:footnote>
  <w:footnote w:id="8">
    <w:p w14:paraId="5094FEA6" w14:textId="4F087EF0" w:rsidR="00EC4824" w:rsidRDefault="00EC4824" w:rsidP="00EC4824">
      <w:pPr>
        <w:pStyle w:val="Allmrkusetekst"/>
      </w:pPr>
      <w:r>
        <w:rPr>
          <w:rStyle w:val="Allmrkuseviide"/>
        </w:rPr>
        <w:footnoteRef/>
      </w:r>
      <w:r>
        <w:t xml:space="preserve"> </w:t>
      </w:r>
      <w:hyperlink r:id="rId6" w:history="1">
        <w:r w:rsidRPr="0088538A">
          <w:rPr>
            <w:rStyle w:val="Hperlink"/>
          </w:rPr>
          <w:t>https://www.ipcc-nggip.iges.or.jp/public/2006gl/</w:t>
        </w:r>
      </w:hyperlink>
    </w:p>
  </w:footnote>
  <w:footnote w:id="9">
    <w:p w14:paraId="6265A2BB" w14:textId="673DA4BC" w:rsidR="000B0CCD" w:rsidRDefault="000B0CCD">
      <w:pPr>
        <w:pStyle w:val="Allmrkusetekst"/>
      </w:pPr>
      <w:r>
        <w:rPr>
          <w:rStyle w:val="Allmrkuseviide"/>
        </w:rPr>
        <w:footnoteRef/>
      </w:r>
      <w:r>
        <w:t xml:space="preserve"> Vastavalt FRA definitsioonile: </w:t>
      </w:r>
      <w:hyperlink r:id="rId7" w:history="1">
        <w:r w:rsidRPr="000B0CCD">
          <w:rPr>
            <w:rStyle w:val="Hperlink"/>
          </w:rPr>
          <w:t>Global Forest Resources Assessment - FRA 2025 - Terms and Definitions</w:t>
        </w:r>
      </w:hyperlink>
      <w:r>
        <w:t xml:space="preserve"> </w:t>
      </w:r>
    </w:p>
  </w:footnote>
  <w:footnote w:id="10">
    <w:p w14:paraId="3A5275D3" w14:textId="06B0AC5A" w:rsidR="000E1492" w:rsidRDefault="000E1492">
      <w:pPr>
        <w:pStyle w:val="Allmrkusetekst"/>
      </w:pPr>
      <w:r>
        <w:rPr>
          <w:rStyle w:val="Allmrkuseviide"/>
        </w:rPr>
        <w:footnoteRef/>
      </w:r>
      <w:r>
        <w:t xml:space="preserve"> </w:t>
      </w:r>
      <w:hyperlink r:id="rId8" w:history="1">
        <w:r w:rsidRPr="0088538A">
          <w:rPr>
            <w:rStyle w:val="Hperlink"/>
          </w:rPr>
          <w:t>https://www.ipcc-nggip.iges.or.jp/public/2006gl/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BDCF" w14:textId="31670939" w:rsidR="00A80FB2" w:rsidRDefault="00A80FB2" w:rsidP="00A80FB2">
    <w:pPr>
      <w:pStyle w:val="Pis"/>
      <w:jc w:val="center"/>
    </w:pPr>
  </w:p>
  <w:p w14:paraId="52EC3488" w14:textId="77777777" w:rsidR="00A80FB2" w:rsidRDefault="00A80FB2" w:rsidP="00A80FB2">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24C"/>
    <w:multiLevelType w:val="hybridMultilevel"/>
    <w:tmpl w:val="1FE28A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A7037D"/>
    <w:multiLevelType w:val="hybridMultilevel"/>
    <w:tmpl w:val="23F4A0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1F2781"/>
    <w:multiLevelType w:val="hybridMultilevel"/>
    <w:tmpl w:val="52ECA4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9A1634B"/>
    <w:multiLevelType w:val="hybridMultilevel"/>
    <w:tmpl w:val="23B4F8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A667C29"/>
    <w:multiLevelType w:val="hybridMultilevel"/>
    <w:tmpl w:val="52ECA4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67125D"/>
    <w:multiLevelType w:val="hybridMultilevel"/>
    <w:tmpl w:val="805484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ADC0728"/>
    <w:multiLevelType w:val="hybridMultilevel"/>
    <w:tmpl w:val="8534BD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F1B42B6"/>
    <w:multiLevelType w:val="hybridMultilevel"/>
    <w:tmpl w:val="FF5635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C1178A4"/>
    <w:multiLevelType w:val="hybridMultilevel"/>
    <w:tmpl w:val="F7366FD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C3E2E3A"/>
    <w:multiLevelType w:val="hybridMultilevel"/>
    <w:tmpl w:val="590EFF3E"/>
    <w:lvl w:ilvl="0" w:tplc="B4B4E01C">
      <w:start w:val="1"/>
      <w:numFmt w:val="decimal"/>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07618"/>
    <w:multiLevelType w:val="multilevel"/>
    <w:tmpl w:val="A5B222F0"/>
    <w:lvl w:ilvl="0">
      <w:start w:val="1"/>
      <w:numFmt w:val="decimal"/>
      <w:lvlText w:val="%1. "/>
      <w:lvlJc w:val="left"/>
      <w:pPr>
        <w:ind w:left="360" w:hanging="360"/>
      </w:pPr>
    </w:lvl>
    <w:lvl w:ilvl="1">
      <w:start w:val="1"/>
      <w:numFmt w:val="decimal"/>
      <w:lvlText w:val="%1.%2."/>
      <w:lvlJc w:val="left"/>
      <w:pPr>
        <w:ind w:left="0" w:firstLine="0"/>
      </w:pPr>
    </w:lvl>
    <w:lvl w:ilvl="2">
      <w:start w:val="1"/>
      <w:numFmt w:val="decimal"/>
      <w:lvlText w:val="%1.%2.%3"/>
      <w:lvlJc w:val="left"/>
      <w:pPr>
        <w:ind w:left="567" w:firstLine="0"/>
      </w:pPr>
    </w:lvl>
    <w:lvl w:ilvl="3">
      <w:start w:val="1"/>
      <w:numFmt w:val="decimal"/>
      <w:lvlText w:val="%1.%2.%3.%4 "/>
      <w:lvlJc w:val="left"/>
      <w:pPr>
        <w:ind w:left="851" w:firstLine="0"/>
      </w:pPr>
    </w:lvl>
    <w:lvl w:ilvl="4">
      <w:start w:val="1"/>
      <w:numFmt w:val="decimal"/>
      <w:lvlText w:val="%1.%2.%3.%4.%5."/>
      <w:lvlJc w:val="left"/>
      <w:pPr>
        <w:ind w:left="1134" w:firstLine="0"/>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2073045328">
    <w:abstractNumId w:val="9"/>
  </w:num>
  <w:num w:numId="2" w16cid:durableId="432285105">
    <w:abstractNumId w:val="7"/>
  </w:num>
  <w:num w:numId="3" w16cid:durableId="649215918">
    <w:abstractNumId w:val="6"/>
  </w:num>
  <w:num w:numId="4" w16cid:durableId="1267467174">
    <w:abstractNumId w:val="5"/>
  </w:num>
  <w:num w:numId="5" w16cid:durableId="1875580940">
    <w:abstractNumId w:val="8"/>
  </w:num>
  <w:num w:numId="6" w16cid:durableId="1319961201">
    <w:abstractNumId w:val="0"/>
  </w:num>
  <w:num w:numId="7" w16cid:durableId="944726292">
    <w:abstractNumId w:val="1"/>
  </w:num>
  <w:num w:numId="8" w16cid:durableId="5161629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8924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38406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1186806">
    <w:abstractNumId w:val="3"/>
  </w:num>
  <w:num w:numId="12" w16cid:durableId="1558977421">
    <w:abstractNumId w:val="2"/>
  </w:num>
  <w:num w:numId="13" w16cid:durableId="209258479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69"/>
    <w:rsid w:val="000010BD"/>
    <w:rsid w:val="00003263"/>
    <w:rsid w:val="000065E7"/>
    <w:rsid w:val="00023556"/>
    <w:rsid w:val="00026C60"/>
    <w:rsid w:val="00027CFF"/>
    <w:rsid w:val="0003490F"/>
    <w:rsid w:val="0004117D"/>
    <w:rsid w:val="00050A80"/>
    <w:rsid w:val="000519BF"/>
    <w:rsid w:val="000519FC"/>
    <w:rsid w:val="00054CBA"/>
    <w:rsid w:val="00063CFC"/>
    <w:rsid w:val="00064873"/>
    <w:rsid w:val="000700E5"/>
    <w:rsid w:val="0007253D"/>
    <w:rsid w:val="0007479B"/>
    <w:rsid w:val="00082290"/>
    <w:rsid w:val="00082610"/>
    <w:rsid w:val="0008450F"/>
    <w:rsid w:val="00086138"/>
    <w:rsid w:val="000868B8"/>
    <w:rsid w:val="000871E1"/>
    <w:rsid w:val="00087BD3"/>
    <w:rsid w:val="000905E3"/>
    <w:rsid w:val="00095A79"/>
    <w:rsid w:val="000A0E41"/>
    <w:rsid w:val="000A3E97"/>
    <w:rsid w:val="000B0CCD"/>
    <w:rsid w:val="000B18F0"/>
    <w:rsid w:val="000B1CDF"/>
    <w:rsid w:val="000B6C05"/>
    <w:rsid w:val="000C5500"/>
    <w:rsid w:val="000C78B5"/>
    <w:rsid w:val="000D41A3"/>
    <w:rsid w:val="000E1492"/>
    <w:rsid w:val="000E1873"/>
    <w:rsid w:val="000E4F4A"/>
    <w:rsid w:val="000E6417"/>
    <w:rsid w:val="000F3F42"/>
    <w:rsid w:val="000F6037"/>
    <w:rsid w:val="000F76F5"/>
    <w:rsid w:val="00103ED7"/>
    <w:rsid w:val="0011274E"/>
    <w:rsid w:val="00113BAF"/>
    <w:rsid w:val="00117569"/>
    <w:rsid w:val="00132CA2"/>
    <w:rsid w:val="0014313C"/>
    <w:rsid w:val="0014389F"/>
    <w:rsid w:val="001449C3"/>
    <w:rsid w:val="00145D00"/>
    <w:rsid w:val="00147C58"/>
    <w:rsid w:val="00156446"/>
    <w:rsid w:val="001605A0"/>
    <w:rsid w:val="00161654"/>
    <w:rsid w:val="00172550"/>
    <w:rsid w:val="001803DC"/>
    <w:rsid w:val="001819B7"/>
    <w:rsid w:val="0018392F"/>
    <w:rsid w:val="001A06B9"/>
    <w:rsid w:val="001A3444"/>
    <w:rsid w:val="001A7A51"/>
    <w:rsid w:val="001B0CEF"/>
    <w:rsid w:val="001B752E"/>
    <w:rsid w:val="001C1448"/>
    <w:rsid w:val="001C3A60"/>
    <w:rsid w:val="001C4203"/>
    <w:rsid w:val="001C5564"/>
    <w:rsid w:val="001D1F1E"/>
    <w:rsid w:val="001D4750"/>
    <w:rsid w:val="001E4777"/>
    <w:rsid w:val="001E7218"/>
    <w:rsid w:val="001F2081"/>
    <w:rsid w:val="001F24FC"/>
    <w:rsid w:val="00201787"/>
    <w:rsid w:val="00204E13"/>
    <w:rsid w:val="00205038"/>
    <w:rsid w:val="00211231"/>
    <w:rsid w:val="0021410A"/>
    <w:rsid w:val="00214726"/>
    <w:rsid w:val="0021750E"/>
    <w:rsid w:val="00221612"/>
    <w:rsid w:val="0022161A"/>
    <w:rsid w:val="00232D40"/>
    <w:rsid w:val="002379F2"/>
    <w:rsid w:val="00244039"/>
    <w:rsid w:val="00246272"/>
    <w:rsid w:val="00254EEC"/>
    <w:rsid w:val="00255802"/>
    <w:rsid w:val="002560CB"/>
    <w:rsid w:val="002601E0"/>
    <w:rsid w:val="0026379A"/>
    <w:rsid w:val="00264F0D"/>
    <w:rsid w:val="0027514C"/>
    <w:rsid w:val="0027656F"/>
    <w:rsid w:val="00291381"/>
    <w:rsid w:val="002921F7"/>
    <w:rsid w:val="00293481"/>
    <w:rsid w:val="002968D2"/>
    <w:rsid w:val="002A40C1"/>
    <w:rsid w:val="002A54DD"/>
    <w:rsid w:val="002B4E27"/>
    <w:rsid w:val="002B5798"/>
    <w:rsid w:val="002C0CCF"/>
    <w:rsid w:val="002C1C77"/>
    <w:rsid w:val="002C62A6"/>
    <w:rsid w:val="002E62AA"/>
    <w:rsid w:val="002F284F"/>
    <w:rsid w:val="002F2920"/>
    <w:rsid w:val="002F3CC4"/>
    <w:rsid w:val="00316E85"/>
    <w:rsid w:val="00325E16"/>
    <w:rsid w:val="003315BD"/>
    <w:rsid w:val="003319FF"/>
    <w:rsid w:val="00334175"/>
    <w:rsid w:val="00345A1D"/>
    <w:rsid w:val="00345D6E"/>
    <w:rsid w:val="0035111F"/>
    <w:rsid w:val="003616F7"/>
    <w:rsid w:val="0036498E"/>
    <w:rsid w:val="00364FDA"/>
    <w:rsid w:val="00366220"/>
    <w:rsid w:val="00372886"/>
    <w:rsid w:val="00374F19"/>
    <w:rsid w:val="003753F2"/>
    <w:rsid w:val="0038187E"/>
    <w:rsid w:val="00385FF2"/>
    <w:rsid w:val="003863D8"/>
    <w:rsid w:val="003931E2"/>
    <w:rsid w:val="00394685"/>
    <w:rsid w:val="003A0869"/>
    <w:rsid w:val="003A125A"/>
    <w:rsid w:val="003A138D"/>
    <w:rsid w:val="003A617D"/>
    <w:rsid w:val="003B0A41"/>
    <w:rsid w:val="003B55FD"/>
    <w:rsid w:val="003B77EC"/>
    <w:rsid w:val="003B7979"/>
    <w:rsid w:val="003C29E0"/>
    <w:rsid w:val="003C3329"/>
    <w:rsid w:val="003C5595"/>
    <w:rsid w:val="003D3257"/>
    <w:rsid w:val="003D3FD1"/>
    <w:rsid w:val="003E0CD9"/>
    <w:rsid w:val="003E3E07"/>
    <w:rsid w:val="003E5652"/>
    <w:rsid w:val="003E6953"/>
    <w:rsid w:val="003F533E"/>
    <w:rsid w:val="0040077B"/>
    <w:rsid w:val="00402813"/>
    <w:rsid w:val="00410371"/>
    <w:rsid w:val="0041431D"/>
    <w:rsid w:val="004148EE"/>
    <w:rsid w:val="0041598A"/>
    <w:rsid w:val="004161BA"/>
    <w:rsid w:val="00420A14"/>
    <w:rsid w:val="00422352"/>
    <w:rsid w:val="004228C5"/>
    <w:rsid w:val="00422EBB"/>
    <w:rsid w:val="00425A5F"/>
    <w:rsid w:val="00431E5B"/>
    <w:rsid w:val="0044452C"/>
    <w:rsid w:val="0046031C"/>
    <w:rsid w:val="00463C3A"/>
    <w:rsid w:val="004703F4"/>
    <w:rsid w:val="00471CBA"/>
    <w:rsid w:val="0047487A"/>
    <w:rsid w:val="00480C02"/>
    <w:rsid w:val="004B07E7"/>
    <w:rsid w:val="004B2939"/>
    <w:rsid w:val="004B373E"/>
    <w:rsid w:val="004C18B9"/>
    <w:rsid w:val="004C2B0C"/>
    <w:rsid w:val="004C3656"/>
    <w:rsid w:val="004C7ECC"/>
    <w:rsid w:val="004D4B52"/>
    <w:rsid w:val="004D5136"/>
    <w:rsid w:val="004F109E"/>
    <w:rsid w:val="004F375E"/>
    <w:rsid w:val="004F4A1E"/>
    <w:rsid w:val="00500493"/>
    <w:rsid w:val="00507DEB"/>
    <w:rsid w:val="0051126C"/>
    <w:rsid w:val="0051408A"/>
    <w:rsid w:val="005172BF"/>
    <w:rsid w:val="005352B2"/>
    <w:rsid w:val="005567F8"/>
    <w:rsid w:val="0056619E"/>
    <w:rsid w:val="00573753"/>
    <w:rsid w:val="0058652E"/>
    <w:rsid w:val="005870ED"/>
    <w:rsid w:val="005934FD"/>
    <w:rsid w:val="005A569F"/>
    <w:rsid w:val="005A66A8"/>
    <w:rsid w:val="005B73EC"/>
    <w:rsid w:val="005B7512"/>
    <w:rsid w:val="005D0937"/>
    <w:rsid w:val="005D1514"/>
    <w:rsid w:val="005D4303"/>
    <w:rsid w:val="005D551F"/>
    <w:rsid w:val="005E0F99"/>
    <w:rsid w:val="005E176F"/>
    <w:rsid w:val="005F1532"/>
    <w:rsid w:val="005F76A4"/>
    <w:rsid w:val="00603454"/>
    <w:rsid w:val="00604774"/>
    <w:rsid w:val="00623A71"/>
    <w:rsid w:val="00630554"/>
    <w:rsid w:val="00631D46"/>
    <w:rsid w:val="00647CAC"/>
    <w:rsid w:val="0065049A"/>
    <w:rsid w:val="0065165F"/>
    <w:rsid w:val="00657D17"/>
    <w:rsid w:val="00661CB0"/>
    <w:rsid w:val="006648BB"/>
    <w:rsid w:val="006666B7"/>
    <w:rsid w:val="006725EC"/>
    <w:rsid w:val="00672FEF"/>
    <w:rsid w:val="00687AD4"/>
    <w:rsid w:val="006916CB"/>
    <w:rsid w:val="006A15C2"/>
    <w:rsid w:val="006A4B28"/>
    <w:rsid w:val="006A6A65"/>
    <w:rsid w:val="006B1693"/>
    <w:rsid w:val="006B1993"/>
    <w:rsid w:val="006B6305"/>
    <w:rsid w:val="006C1BF8"/>
    <w:rsid w:val="006C2A93"/>
    <w:rsid w:val="006D00DF"/>
    <w:rsid w:val="006D5BE6"/>
    <w:rsid w:val="006E14B6"/>
    <w:rsid w:val="006E1A0B"/>
    <w:rsid w:val="006E7C3B"/>
    <w:rsid w:val="006E7F08"/>
    <w:rsid w:val="006F31CC"/>
    <w:rsid w:val="006F4684"/>
    <w:rsid w:val="0070279A"/>
    <w:rsid w:val="00703F6D"/>
    <w:rsid w:val="00713793"/>
    <w:rsid w:val="00716C2E"/>
    <w:rsid w:val="00743AC7"/>
    <w:rsid w:val="0074554A"/>
    <w:rsid w:val="0075170D"/>
    <w:rsid w:val="00753A32"/>
    <w:rsid w:val="0075431D"/>
    <w:rsid w:val="0077328F"/>
    <w:rsid w:val="00775425"/>
    <w:rsid w:val="00777D20"/>
    <w:rsid w:val="007844C7"/>
    <w:rsid w:val="00797673"/>
    <w:rsid w:val="007B16DC"/>
    <w:rsid w:val="007C2818"/>
    <w:rsid w:val="007C52A4"/>
    <w:rsid w:val="007C57BC"/>
    <w:rsid w:val="007E1563"/>
    <w:rsid w:val="007E3CC8"/>
    <w:rsid w:val="007E47BB"/>
    <w:rsid w:val="007F2342"/>
    <w:rsid w:val="007F23A8"/>
    <w:rsid w:val="007F64B1"/>
    <w:rsid w:val="00801B7E"/>
    <w:rsid w:val="00803631"/>
    <w:rsid w:val="00803BDC"/>
    <w:rsid w:val="00804150"/>
    <w:rsid w:val="008069AD"/>
    <w:rsid w:val="00823321"/>
    <w:rsid w:val="008313E2"/>
    <w:rsid w:val="008463EA"/>
    <w:rsid w:val="00850F6E"/>
    <w:rsid w:val="008547E5"/>
    <w:rsid w:val="00862414"/>
    <w:rsid w:val="00866D10"/>
    <w:rsid w:val="00871FFF"/>
    <w:rsid w:val="008725BB"/>
    <w:rsid w:val="00872677"/>
    <w:rsid w:val="008741DB"/>
    <w:rsid w:val="008748BB"/>
    <w:rsid w:val="008753EF"/>
    <w:rsid w:val="00876159"/>
    <w:rsid w:val="0087775F"/>
    <w:rsid w:val="00877916"/>
    <w:rsid w:val="00890978"/>
    <w:rsid w:val="008A1640"/>
    <w:rsid w:val="008A1C62"/>
    <w:rsid w:val="008A3113"/>
    <w:rsid w:val="008A475E"/>
    <w:rsid w:val="008B1790"/>
    <w:rsid w:val="008B2C5E"/>
    <w:rsid w:val="008B5AFA"/>
    <w:rsid w:val="008B70C9"/>
    <w:rsid w:val="008C083E"/>
    <w:rsid w:val="008C2637"/>
    <w:rsid w:val="008D697B"/>
    <w:rsid w:val="008E0BC4"/>
    <w:rsid w:val="008F7169"/>
    <w:rsid w:val="008F744D"/>
    <w:rsid w:val="00901DF7"/>
    <w:rsid w:val="00901FFC"/>
    <w:rsid w:val="009042E8"/>
    <w:rsid w:val="00907641"/>
    <w:rsid w:val="00911167"/>
    <w:rsid w:val="00911B4C"/>
    <w:rsid w:val="00923C92"/>
    <w:rsid w:val="00933510"/>
    <w:rsid w:val="009339AC"/>
    <w:rsid w:val="009345BD"/>
    <w:rsid w:val="009400FF"/>
    <w:rsid w:val="0094125C"/>
    <w:rsid w:val="00944814"/>
    <w:rsid w:val="00952AE8"/>
    <w:rsid w:val="009532A3"/>
    <w:rsid w:val="0095548E"/>
    <w:rsid w:val="00955C43"/>
    <w:rsid w:val="00957E88"/>
    <w:rsid w:val="009753D3"/>
    <w:rsid w:val="009800E2"/>
    <w:rsid w:val="00980E6D"/>
    <w:rsid w:val="0098324B"/>
    <w:rsid w:val="00986FB4"/>
    <w:rsid w:val="009900D4"/>
    <w:rsid w:val="00991EAB"/>
    <w:rsid w:val="009969F6"/>
    <w:rsid w:val="009A656D"/>
    <w:rsid w:val="009A7687"/>
    <w:rsid w:val="009B490D"/>
    <w:rsid w:val="009B5EDF"/>
    <w:rsid w:val="009E6D83"/>
    <w:rsid w:val="009F1315"/>
    <w:rsid w:val="009F3E28"/>
    <w:rsid w:val="00A01305"/>
    <w:rsid w:val="00A02B11"/>
    <w:rsid w:val="00A031B1"/>
    <w:rsid w:val="00A11ABF"/>
    <w:rsid w:val="00A13EAE"/>
    <w:rsid w:val="00A259CE"/>
    <w:rsid w:val="00A4093E"/>
    <w:rsid w:val="00A42D56"/>
    <w:rsid w:val="00A461FA"/>
    <w:rsid w:val="00A46FD5"/>
    <w:rsid w:val="00A50CA3"/>
    <w:rsid w:val="00A60875"/>
    <w:rsid w:val="00A624BD"/>
    <w:rsid w:val="00A73374"/>
    <w:rsid w:val="00A7683E"/>
    <w:rsid w:val="00A7756D"/>
    <w:rsid w:val="00A80F09"/>
    <w:rsid w:val="00A80FB2"/>
    <w:rsid w:val="00A841C4"/>
    <w:rsid w:val="00A85C2F"/>
    <w:rsid w:val="00A96A60"/>
    <w:rsid w:val="00A971D5"/>
    <w:rsid w:val="00AA2B75"/>
    <w:rsid w:val="00AB4176"/>
    <w:rsid w:val="00AB5BD5"/>
    <w:rsid w:val="00AC23B3"/>
    <w:rsid w:val="00AC30CA"/>
    <w:rsid w:val="00AC644B"/>
    <w:rsid w:val="00AD0E48"/>
    <w:rsid w:val="00AD2BA6"/>
    <w:rsid w:val="00AD7AA8"/>
    <w:rsid w:val="00AE092E"/>
    <w:rsid w:val="00AE20C5"/>
    <w:rsid w:val="00AE382F"/>
    <w:rsid w:val="00AF1F9D"/>
    <w:rsid w:val="00AF57CC"/>
    <w:rsid w:val="00AF7067"/>
    <w:rsid w:val="00AF76C6"/>
    <w:rsid w:val="00AF7A52"/>
    <w:rsid w:val="00B005BA"/>
    <w:rsid w:val="00B16AE9"/>
    <w:rsid w:val="00B22BBD"/>
    <w:rsid w:val="00B24DF0"/>
    <w:rsid w:val="00B3699D"/>
    <w:rsid w:val="00B63446"/>
    <w:rsid w:val="00B6375A"/>
    <w:rsid w:val="00B67068"/>
    <w:rsid w:val="00B673EF"/>
    <w:rsid w:val="00B718F5"/>
    <w:rsid w:val="00B76195"/>
    <w:rsid w:val="00B935AF"/>
    <w:rsid w:val="00BA0B23"/>
    <w:rsid w:val="00BA0F00"/>
    <w:rsid w:val="00BA5EF6"/>
    <w:rsid w:val="00BA6AEE"/>
    <w:rsid w:val="00BB223B"/>
    <w:rsid w:val="00BB6C63"/>
    <w:rsid w:val="00BC1F41"/>
    <w:rsid w:val="00BC6CF1"/>
    <w:rsid w:val="00BE1546"/>
    <w:rsid w:val="00BE2CED"/>
    <w:rsid w:val="00BE3A63"/>
    <w:rsid w:val="00BE47D1"/>
    <w:rsid w:val="00BE59B9"/>
    <w:rsid w:val="00BF4C45"/>
    <w:rsid w:val="00BF5A91"/>
    <w:rsid w:val="00BF7B04"/>
    <w:rsid w:val="00C017C3"/>
    <w:rsid w:val="00C06FBD"/>
    <w:rsid w:val="00C21DCE"/>
    <w:rsid w:val="00C24D40"/>
    <w:rsid w:val="00C35F7A"/>
    <w:rsid w:val="00C4079C"/>
    <w:rsid w:val="00C4734E"/>
    <w:rsid w:val="00C545DD"/>
    <w:rsid w:val="00C601C5"/>
    <w:rsid w:val="00C61D17"/>
    <w:rsid w:val="00C622CE"/>
    <w:rsid w:val="00C624B4"/>
    <w:rsid w:val="00C63D3C"/>
    <w:rsid w:val="00C67B43"/>
    <w:rsid w:val="00C83FA3"/>
    <w:rsid w:val="00C94723"/>
    <w:rsid w:val="00CA75B3"/>
    <w:rsid w:val="00CA7F4F"/>
    <w:rsid w:val="00CB10E0"/>
    <w:rsid w:val="00CB1ABF"/>
    <w:rsid w:val="00CB26FD"/>
    <w:rsid w:val="00CB6295"/>
    <w:rsid w:val="00CC061F"/>
    <w:rsid w:val="00CC156E"/>
    <w:rsid w:val="00CC29AF"/>
    <w:rsid w:val="00CC7AEF"/>
    <w:rsid w:val="00CD6075"/>
    <w:rsid w:val="00CD6170"/>
    <w:rsid w:val="00CD725A"/>
    <w:rsid w:val="00CF567A"/>
    <w:rsid w:val="00D0004A"/>
    <w:rsid w:val="00D003F6"/>
    <w:rsid w:val="00D04C77"/>
    <w:rsid w:val="00D0591A"/>
    <w:rsid w:val="00D22D2D"/>
    <w:rsid w:val="00D2345B"/>
    <w:rsid w:val="00D246D0"/>
    <w:rsid w:val="00D25239"/>
    <w:rsid w:val="00D3404A"/>
    <w:rsid w:val="00D46604"/>
    <w:rsid w:val="00D4708C"/>
    <w:rsid w:val="00D477E3"/>
    <w:rsid w:val="00D47EC6"/>
    <w:rsid w:val="00D51B7F"/>
    <w:rsid w:val="00D54F9D"/>
    <w:rsid w:val="00D55271"/>
    <w:rsid w:val="00D558BE"/>
    <w:rsid w:val="00D55EA5"/>
    <w:rsid w:val="00D61BED"/>
    <w:rsid w:val="00D70244"/>
    <w:rsid w:val="00D8537A"/>
    <w:rsid w:val="00D87555"/>
    <w:rsid w:val="00D95B1A"/>
    <w:rsid w:val="00DA39EE"/>
    <w:rsid w:val="00DA6B75"/>
    <w:rsid w:val="00DA7A5E"/>
    <w:rsid w:val="00DC0D6F"/>
    <w:rsid w:val="00DC558F"/>
    <w:rsid w:val="00DC638A"/>
    <w:rsid w:val="00DD1B71"/>
    <w:rsid w:val="00DD54A6"/>
    <w:rsid w:val="00DD7D41"/>
    <w:rsid w:val="00DE2F6A"/>
    <w:rsid w:val="00DE46CA"/>
    <w:rsid w:val="00DE73A2"/>
    <w:rsid w:val="00E008BB"/>
    <w:rsid w:val="00E041A0"/>
    <w:rsid w:val="00E077A5"/>
    <w:rsid w:val="00E11EA9"/>
    <w:rsid w:val="00E13DEF"/>
    <w:rsid w:val="00E309EF"/>
    <w:rsid w:val="00E311C8"/>
    <w:rsid w:val="00E44056"/>
    <w:rsid w:val="00E5255E"/>
    <w:rsid w:val="00E53C3E"/>
    <w:rsid w:val="00E61981"/>
    <w:rsid w:val="00E632C8"/>
    <w:rsid w:val="00E64BD4"/>
    <w:rsid w:val="00E66E44"/>
    <w:rsid w:val="00E70584"/>
    <w:rsid w:val="00E8005D"/>
    <w:rsid w:val="00E800F6"/>
    <w:rsid w:val="00E84EB2"/>
    <w:rsid w:val="00EA35EF"/>
    <w:rsid w:val="00EB061A"/>
    <w:rsid w:val="00EB30E6"/>
    <w:rsid w:val="00EC4824"/>
    <w:rsid w:val="00EC5D66"/>
    <w:rsid w:val="00ED524E"/>
    <w:rsid w:val="00ED7093"/>
    <w:rsid w:val="00EE3268"/>
    <w:rsid w:val="00EE3AFF"/>
    <w:rsid w:val="00EE4B17"/>
    <w:rsid w:val="00EE5C43"/>
    <w:rsid w:val="00EE6BC8"/>
    <w:rsid w:val="00EF254B"/>
    <w:rsid w:val="00EF264D"/>
    <w:rsid w:val="00EF4C1A"/>
    <w:rsid w:val="00EF52A2"/>
    <w:rsid w:val="00EF7C0F"/>
    <w:rsid w:val="00F00FF0"/>
    <w:rsid w:val="00F03643"/>
    <w:rsid w:val="00F1092E"/>
    <w:rsid w:val="00F1149B"/>
    <w:rsid w:val="00F12875"/>
    <w:rsid w:val="00F310EA"/>
    <w:rsid w:val="00F32702"/>
    <w:rsid w:val="00F35CA6"/>
    <w:rsid w:val="00F37C23"/>
    <w:rsid w:val="00F457D6"/>
    <w:rsid w:val="00F50EE5"/>
    <w:rsid w:val="00F61183"/>
    <w:rsid w:val="00F66F75"/>
    <w:rsid w:val="00F80EFF"/>
    <w:rsid w:val="00F8263E"/>
    <w:rsid w:val="00F85386"/>
    <w:rsid w:val="00F855A1"/>
    <w:rsid w:val="00F855E9"/>
    <w:rsid w:val="00F8600B"/>
    <w:rsid w:val="00F9196F"/>
    <w:rsid w:val="00F920FE"/>
    <w:rsid w:val="00F9510C"/>
    <w:rsid w:val="00FA0696"/>
    <w:rsid w:val="00FA25CC"/>
    <w:rsid w:val="00FB3FFE"/>
    <w:rsid w:val="00FC1FEB"/>
    <w:rsid w:val="00FD2011"/>
    <w:rsid w:val="00FF10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67A1E"/>
  <w15:docId w15:val="{AC83399C-8B90-4309-90E2-AB9CE0E0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9"/>
    <w:qFormat/>
    <w:rsid w:val="00F8263E"/>
    <w:pPr>
      <w:keepNext/>
      <w:spacing w:before="240" w:after="60" w:line="240" w:lineRule="auto"/>
      <w:outlineLvl w:val="0"/>
    </w:pPr>
    <w:rPr>
      <w:rFonts w:ascii="Arial" w:eastAsia="Times New Roman" w:hAnsi="Arial" w:cs="Arial"/>
      <w:b/>
      <w:bCs/>
      <w:kern w:val="32"/>
      <w:sz w:val="24"/>
      <w:lang w:val="en-US"/>
    </w:rPr>
  </w:style>
  <w:style w:type="paragraph" w:styleId="Pealkiri2">
    <w:name w:val="heading 2"/>
    <w:basedOn w:val="Normaallaad"/>
    <w:next w:val="Normaallaad"/>
    <w:link w:val="Pealkiri2Mrk"/>
    <w:uiPriority w:val="9"/>
    <w:unhideWhenUsed/>
    <w:qFormat/>
    <w:rsid w:val="001438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ERP-List Paragraph,List Paragraph11,Bullet EY,List Paragraph1,Table of contents numbered,List (services),Loetelu (bulletid),Dot pt,No Spacing1,List Paragraph Char Char Char,Indicator Text,Numbered Para 1,Bullet Points,3"/>
    <w:basedOn w:val="Normaallaad"/>
    <w:link w:val="LoendilikMrk"/>
    <w:uiPriority w:val="34"/>
    <w:qFormat/>
    <w:rsid w:val="008F7169"/>
    <w:pPr>
      <w:spacing w:before="240" w:after="240" w:line="240" w:lineRule="auto"/>
      <w:ind w:left="720"/>
      <w:contextualSpacing/>
      <w:jc w:val="both"/>
    </w:pPr>
    <w:rPr>
      <w:rFonts w:ascii="Cambria" w:eastAsia="Times New Roman" w:hAnsi="Cambria" w:cs="Times New Roman"/>
      <w:sz w:val="24"/>
    </w:rPr>
  </w:style>
  <w:style w:type="character" w:customStyle="1" w:styleId="LoendilikMrk">
    <w:name w:val="Loendi lõik Märk"/>
    <w:aliases w:val="Mummuga loetelu Märk,ERP-List Paragraph Märk,List Paragraph11 Märk,Bullet EY Märk,List Paragraph1 Märk,Table of contents numbered Märk,List (services) Märk,Loetelu (bulletid) Märk,Dot pt Märk,No Spacing1 Märk,Indicator Text Märk,3 Märk"/>
    <w:link w:val="Loendilik"/>
    <w:uiPriority w:val="34"/>
    <w:qFormat/>
    <w:locked/>
    <w:rsid w:val="008F7169"/>
    <w:rPr>
      <w:rFonts w:ascii="Cambria" w:eastAsia="Times New Roman" w:hAnsi="Cambria" w:cs="Times New Roman"/>
      <w:sz w:val="24"/>
    </w:rPr>
  </w:style>
  <w:style w:type="paragraph" w:styleId="Jutumullitekst">
    <w:name w:val="Balloon Text"/>
    <w:basedOn w:val="Normaallaad"/>
    <w:link w:val="JutumullitekstMrk"/>
    <w:uiPriority w:val="99"/>
    <w:semiHidden/>
    <w:unhideWhenUsed/>
    <w:rsid w:val="00BC6CF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C6CF1"/>
    <w:rPr>
      <w:rFonts w:ascii="Segoe UI" w:hAnsi="Segoe UI" w:cs="Segoe UI"/>
      <w:sz w:val="18"/>
      <w:szCs w:val="18"/>
    </w:rPr>
  </w:style>
  <w:style w:type="table" w:styleId="Kontuurtabel">
    <w:name w:val="Table Grid"/>
    <w:basedOn w:val="Normaaltabel"/>
    <w:uiPriority w:val="59"/>
    <w:rsid w:val="00F50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9"/>
    <w:rsid w:val="00F8263E"/>
    <w:rPr>
      <w:rFonts w:ascii="Arial" w:eastAsia="Times New Roman" w:hAnsi="Arial" w:cs="Arial"/>
      <w:b/>
      <w:bCs/>
      <w:kern w:val="32"/>
      <w:sz w:val="24"/>
      <w:lang w:val="en-US"/>
    </w:rPr>
  </w:style>
  <w:style w:type="paragraph" w:styleId="Allmrkusetekst">
    <w:name w:val="footnote text"/>
    <w:aliases w:val="Schriftart: 9 pt,Schriftart: 10 pt,Schriftart: 8 pt,o,Footnote text,Podrozdział,Footnote,WB-Fußnotentext,Reference,Fußnote,fn,Footnote Text Char2,Footnote Text Char Char1,Footnote Text Char1 Char Char,Footnote Text Char Char Char Char"/>
    <w:basedOn w:val="Normaallaad"/>
    <w:link w:val="AllmrkusetekstMrk"/>
    <w:uiPriority w:val="99"/>
    <w:unhideWhenUsed/>
    <w:rsid w:val="00AD0E48"/>
    <w:pPr>
      <w:spacing w:after="0" w:line="240" w:lineRule="auto"/>
    </w:pPr>
    <w:rPr>
      <w:sz w:val="20"/>
      <w:szCs w:val="20"/>
    </w:rPr>
  </w:style>
  <w:style w:type="character" w:customStyle="1" w:styleId="AllmrkusetekstMrk">
    <w:name w:val="Allmärkuse tekst Märk"/>
    <w:aliases w:val="Schriftart: 9 pt Märk,Schriftart: 10 pt Märk,Schriftart: 8 pt Märk,o Märk,Footnote text Märk,Podrozdział Märk,Footnote Märk,WB-Fußnotentext Märk,Reference Märk,Fußnote Märk,fn Märk,Footnote Text Char2 Märk"/>
    <w:basedOn w:val="Liguvaikefont"/>
    <w:link w:val="Allmrkusetekst"/>
    <w:uiPriority w:val="99"/>
    <w:rsid w:val="00AD0E48"/>
    <w:rPr>
      <w:sz w:val="20"/>
      <w:szCs w:val="20"/>
    </w:rPr>
  </w:style>
  <w:style w:type="character" w:styleId="Allmrkuseviide">
    <w:name w:val="footnote reference"/>
    <w:aliases w:val="Footnote symbol,Times 10 Point,Exposant 3 Point,Footnote reference number,Footnote Reference Superscript,Appel note de bas de p,Appel note de bas de page,Légende,Char Car Car Car Car,Voetnootverwijzing"/>
    <w:basedOn w:val="Liguvaikefont"/>
    <w:uiPriority w:val="99"/>
    <w:semiHidden/>
    <w:unhideWhenUsed/>
    <w:rsid w:val="00AD0E48"/>
    <w:rPr>
      <w:vertAlign w:val="superscript"/>
    </w:rPr>
  </w:style>
  <w:style w:type="paragraph" w:styleId="Pis">
    <w:name w:val="header"/>
    <w:basedOn w:val="Normaallaad"/>
    <w:link w:val="PisMrk"/>
    <w:uiPriority w:val="99"/>
    <w:unhideWhenUsed/>
    <w:rsid w:val="000905E3"/>
    <w:pPr>
      <w:tabs>
        <w:tab w:val="center" w:pos="4536"/>
        <w:tab w:val="right" w:pos="9072"/>
      </w:tabs>
      <w:spacing w:after="0" w:line="240" w:lineRule="auto"/>
    </w:pPr>
  </w:style>
  <w:style w:type="character" w:customStyle="1" w:styleId="PisMrk">
    <w:name w:val="Päis Märk"/>
    <w:basedOn w:val="Liguvaikefont"/>
    <w:link w:val="Pis"/>
    <w:uiPriority w:val="99"/>
    <w:rsid w:val="000905E3"/>
  </w:style>
  <w:style w:type="paragraph" w:styleId="Jalus">
    <w:name w:val="footer"/>
    <w:basedOn w:val="Normaallaad"/>
    <w:link w:val="JalusMrk"/>
    <w:uiPriority w:val="99"/>
    <w:unhideWhenUsed/>
    <w:rsid w:val="000905E3"/>
    <w:pPr>
      <w:tabs>
        <w:tab w:val="center" w:pos="4536"/>
        <w:tab w:val="right" w:pos="9072"/>
      </w:tabs>
      <w:spacing w:after="0" w:line="240" w:lineRule="auto"/>
    </w:pPr>
  </w:style>
  <w:style w:type="character" w:customStyle="1" w:styleId="JalusMrk">
    <w:name w:val="Jalus Märk"/>
    <w:basedOn w:val="Liguvaikefont"/>
    <w:link w:val="Jalus"/>
    <w:uiPriority w:val="99"/>
    <w:rsid w:val="000905E3"/>
  </w:style>
  <w:style w:type="character" w:styleId="Hperlink">
    <w:name w:val="Hyperlink"/>
    <w:basedOn w:val="Liguvaikefont"/>
    <w:uiPriority w:val="99"/>
    <w:unhideWhenUsed/>
    <w:rsid w:val="00923C92"/>
    <w:rPr>
      <w:color w:val="0563C1" w:themeColor="hyperlink"/>
      <w:u w:val="single"/>
    </w:rPr>
  </w:style>
  <w:style w:type="paragraph" w:customStyle="1" w:styleId="Default">
    <w:name w:val="Default"/>
    <w:rsid w:val="00EB061A"/>
    <w:pPr>
      <w:autoSpaceDE w:val="0"/>
      <w:autoSpaceDN w:val="0"/>
      <w:adjustRightInd w:val="0"/>
      <w:spacing w:after="0" w:line="240" w:lineRule="auto"/>
    </w:pPr>
    <w:rPr>
      <w:rFonts w:ascii="Times New Roman" w:hAnsi="Times New Roman" w:cs="Times New Roman"/>
      <w:color w:val="000000"/>
      <w:sz w:val="24"/>
      <w:szCs w:val="24"/>
    </w:rPr>
  </w:style>
  <w:style w:type="character" w:styleId="Tugev">
    <w:name w:val="Strong"/>
    <w:basedOn w:val="Liguvaikefont"/>
    <w:uiPriority w:val="22"/>
    <w:qFormat/>
    <w:rsid w:val="00EB061A"/>
    <w:rPr>
      <w:b/>
      <w:bCs/>
    </w:rPr>
  </w:style>
  <w:style w:type="character" w:styleId="Kommentaariviide">
    <w:name w:val="annotation reference"/>
    <w:basedOn w:val="Liguvaikefont"/>
    <w:uiPriority w:val="99"/>
    <w:semiHidden/>
    <w:unhideWhenUsed/>
    <w:rsid w:val="00DC558F"/>
    <w:rPr>
      <w:sz w:val="16"/>
      <w:szCs w:val="16"/>
    </w:rPr>
  </w:style>
  <w:style w:type="paragraph" w:styleId="Kommentaaritekst">
    <w:name w:val="annotation text"/>
    <w:basedOn w:val="Normaallaad"/>
    <w:link w:val="KommentaaritekstMrk"/>
    <w:uiPriority w:val="99"/>
    <w:unhideWhenUsed/>
    <w:rsid w:val="00DC558F"/>
    <w:pPr>
      <w:spacing w:line="240" w:lineRule="auto"/>
    </w:pPr>
    <w:rPr>
      <w:sz w:val="20"/>
      <w:szCs w:val="20"/>
    </w:rPr>
  </w:style>
  <w:style w:type="character" w:customStyle="1" w:styleId="KommentaaritekstMrk">
    <w:name w:val="Kommentaari tekst Märk"/>
    <w:basedOn w:val="Liguvaikefont"/>
    <w:link w:val="Kommentaaritekst"/>
    <w:uiPriority w:val="99"/>
    <w:rsid w:val="00DC558F"/>
    <w:rPr>
      <w:sz w:val="20"/>
      <w:szCs w:val="20"/>
    </w:rPr>
  </w:style>
  <w:style w:type="paragraph" w:styleId="Kommentaariteema">
    <w:name w:val="annotation subject"/>
    <w:basedOn w:val="Kommentaaritekst"/>
    <w:next w:val="Kommentaaritekst"/>
    <w:link w:val="KommentaariteemaMrk"/>
    <w:uiPriority w:val="99"/>
    <w:semiHidden/>
    <w:unhideWhenUsed/>
    <w:rsid w:val="00DC558F"/>
    <w:rPr>
      <w:b/>
      <w:bCs/>
    </w:rPr>
  </w:style>
  <w:style w:type="character" w:customStyle="1" w:styleId="KommentaariteemaMrk">
    <w:name w:val="Kommentaari teema Märk"/>
    <w:basedOn w:val="KommentaaritekstMrk"/>
    <w:link w:val="Kommentaariteema"/>
    <w:uiPriority w:val="99"/>
    <w:semiHidden/>
    <w:rsid w:val="00DC558F"/>
    <w:rPr>
      <w:b/>
      <w:bCs/>
      <w:sz w:val="20"/>
      <w:szCs w:val="20"/>
    </w:rPr>
  </w:style>
  <w:style w:type="character" w:customStyle="1" w:styleId="Pealkiri2Mrk">
    <w:name w:val="Pealkiri 2 Märk"/>
    <w:basedOn w:val="Liguvaikefont"/>
    <w:link w:val="Pealkiri2"/>
    <w:uiPriority w:val="9"/>
    <w:rsid w:val="0014389F"/>
    <w:rPr>
      <w:rFonts w:asciiTheme="majorHAnsi" w:eastAsiaTheme="majorEastAsia" w:hAnsiTheme="majorHAnsi" w:cstheme="majorBidi"/>
      <w:color w:val="2E74B5" w:themeColor="accent1" w:themeShade="BF"/>
      <w:sz w:val="26"/>
      <w:szCs w:val="26"/>
    </w:rPr>
  </w:style>
  <w:style w:type="paragraph" w:styleId="Normaallaadveeb">
    <w:name w:val="Normal (Web)"/>
    <w:basedOn w:val="Normaallaad"/>
    <w:uiPriority w:val="99"/>
    <w:semiHidden/>
    <w:unhideWhenUsed/>
    <w:rsid w:val="0027656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converted-space">
    <w:name w:val="apple-converted-space"/>
    <w:basedOn w:val="Liguvaikefont"/>
    <w:rsid w:val="0027656F"/>
  </w:style>
  <w:style w:type="paragraph" w:styleId="Redaktsioon">
    <w:name w:val="Revision"/>
    <w:hidden/>
    <w:uiPriority w:val="99"/>
    <w:semiHidden/>
    <w:rsid w:val="00DC0D6F"/>
    <w:pPr>
      <w:spacing w:after="0" w:line="240" w:lineRule="auto"/>
    </w:pPr>
  </w:style>
  <w:style w:type="paragraph" w:customStyle="1" w:styleId="footnotedescription">
    <w:name w:val="footnote description"/>
    <w:next w:val="Normaallaad"/>
    <w:link w:val="footnotedescriptionChar"/>
    <w:hidden/>
    <w:rsid w:val="003B77EC"/>
    <w:pPr>
      <w:spacing w:after="0"/>
      <w:ind w:left="7"/>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3B77EC"/>
    <w:rPr>
      <w:rFonts w:ascii="Times New Roman" w:eastAsia="Times New Roman" w:hAnsi="Times New Roman" w:cs="Times New Roman"/>
      <w:color w:val="000000"/>
      <w:sz w:val="20"/>
      <w:lang w:eastAsia="et-EE"/>
    </w:rPr>
  </w:style>
  <w:style w:type="character" w:customStyle="1" w:styleId="footnotemark">
    <w:name w:val="footnote mark"/>
    <w:hidden/>
    <w:rsid w:val="003B77EC"/>
    <w:rPr>
      <w:rFonts w:ascii="Times New Roman" w:eastAsia="Times New Roman" w:hAnsi="Times New Roman" w:cs="Times New Roman"/>
      <w:color w:val="000000"/>
      <w:sz w:val="20"/>
      <w:vertAlign w:val="superscript"/>
    </w:rPr>
  </w:style>
  <w:style w:type="character" w:customStyle="1" w:styleId="cf01">
    <w:name w:val="cf01"/>
    <w:basedOn w:val="Liguvaikefont"/>
    <w:rsid w:val="00A01305"/>
    <w:rPr>
      <w:rFonts w:ascii="Segoe UI" w:hAnsi="Segoe UI" w:cs="Segoe UI" w:hint="default"/>
      <w:b/>
      <w:bCs/>
      <w:sz w:val="18"/>
      <w:szCs w:val="18"/>
    </w:rPr>
  </w:style>
  <w:style w:type="character" w:styleId="Vaevumrgatavrhutus">
    <w:name w:val="Subtle Emphasis"/>
    <w:basedOn w:val="Liguvaikefont"/>
    <w:uiPriority w:val="19"/>
    <w:qFormat/>
    <w:rsid w:val="00E66E44"/>
    <w:rPr>
      <w:i/>
      <w:iCs/>
      <w:color w:val="404040" w:themeColor="text1" w:themeTint="BF"/>
    </w:rPr>
  </w:style>
  <w:style w:type="paragraph" w:customStyle="1" w:styleId="Standard">
    <w:name w:val="Standard"/>
    <w:rsid w:val="00394685"/>
    <w:pPr>
      <w:widowControl w:val="0"/>
      <w:suppressAutoHyphens/>
      <w:spacing w:after="0" w:line="240" w:lineRule="auto"/>
    </w:pPr>
    <w:rPr>
      <w:rFonts w:ascii="Thorndale AMT" w:eastAsia="Lucida Sans Unicode" w:hAnsi="Thorndale AMT" w:cs="Mangal"/>
      <w:sz w:val="24"/>
      <w:szCs w:val="24"/>
      <w:lang w:val="en-US" w:eastAsia="zh-CN" w:bidi="hi-IN"/>
    </w:rPr>
  </w:style>
  <w:style w:type="character" w:styleId="Lahendamatamainimine">
    <w:name w:val="Unresolved Mention"/>
    <w:basedOn w:val="Liguvaikefont"/>
    <w:uiPriority w:val="99"/>
    <w:semiHidden/>
    <w:unhideWhenUsed/>
    <w:rsid w:val="000E1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6836">
      <w:bodyDiv w:val="1"/>
      <w:marLeft w:val="0"/>
      <w:marRight w:val="0"/>
      <w:marTop w:val="0"/>
      <w:marBottom w:val="0"/>
      <w:divBdr>
        <w:top w:val="none" w:sz="0" w:space="0" w:color="auto"/>
        <w:left w:val="none" w:sz="0" w:space="0" w:color="auto"/>
        <w:bottom w:val="none" w:sz="0" w:space="0" w:color="auto"/>
        <w:right w:val="none" w:sz="0" w:space="0" w:color="auto"/>
      </w:divBdr>
    </w:div>
    <w:div w:id="92437530">
      <w:bodyDiv w:val="1"/>
      <w:marLeft w:val="0"/>
      <w:marRight w:val="0"/>
      <w:marTop w:val="0"/>
      <w:marBottom w:val="0"/>
      <w:divBdr>
        <w:top w:val="none" w:sz="0" w:space="0" w:color="auto"/>
        <w:left w:val="none" w:sz="0" w:space="0" w:color="auto"/>
        <w:bottom w:val="none" w:sz="0" w:space="0" w:color="auto"/>
        <w:right w:val="none" w:sz="0" w:space="0" w:color="auto"/>
      </w:divBdr>
    </w:div>
    <w:div w:id="527917382">
      <w:bodyDiv w:val="1"/>
      <w:marLeft w:val="0"/>
      <w:marRight w:val="0"/>
      <w:marTop w:val="0"/>
      <w:marBottom w:val="0"/>
      <w:divBdr>
        <w:top w:val="none" w:sz="0" w:space="0" w:color="auto"/>
        <w:left w:val="none" w:sz="0" w:space="0" w:color="auto"/>
        <w:bottom w:val="none" w:sz="0" w:space="0" w:color="auto"/>
        <w:right w:val="none" w:sz="0" w:space="0" w:color="auto"/>
      </w:divBdr>
    </w:div>
    <w:div w:id="692196330">
      <w:bodyDiv w:val="1"/>
      <w:marLeft w:val="0"/>
      <w:marRight w:val="0"/>
      <w:marTop w:val="0"/>
      <w:marBottom w:val="0"/>
      <w:divBdr>
        <w:top w:val="none" w:sz="0" w:space="0" w:color="auto"/>
        <w:left w:val="none" w:sz="0" w:space="0" w:color="auto"/>
        <w:bottom w:val="none" w:sz="0" w:space="0" w:color="auto"/>
        <w:right w:val="none" w:sz="0" w:space="0" w:color="auto"/>
      </w:divBdr>
    </w:div>
    <w:div w:id="700280271">
      <w:bodyDiv w:val="1"/>
      <w:marLeft w:val="0"/>
      <w:marRight w:val="0"/>
      <w:marTop w:val="0"/>
      <w:marBottom w:val="0"/>
      <w:divBdr>
        <w:top w:val="none" w:sz="0" w:space="0" w:color="auto"/>
        <w:left w:val="none" w:sz="0" w:space="0" w:color="auto"/>
        <w:bottom w:val="none" w:sz="0" w:space="0" w:color="auto"/>
        <w:right w:val="none" w:sz="0" w:space="0" w:color="auto"/>
      </w:divBdr>
    </w:div>
    <w:div w:id="820460590">
      <w:bodyDiv w:val="1"/>
      <w:marLeft w:val="0"/>
      <w:marRight w:val="0"/>
      <w:marTop w:val="0"/>
      <w:marBottom w:val="0"/>
      <w:divBdr>
        <w:top w:val="none" w:sz="0" w:space="0" w:color="auto"/>
        <w:left w:val="none" w:sz="0" w:space="0" w:color="auto"/>
        <w:bottom w:val="none" w:sz="0" w:space="0" w:color="auto"/>
        <w:right w:val="none" w:sz="0" w:space="0" w:color="auto"/>
      </w:divBdr>
    </w:div>
    <w:div w:id="892430440">
      <w:bodyDiv w:val="1"/>
      <w:marLeft w:val="0"/>
      <w:marRight w:val="0"/>
      <w:marTop w:val="0"/>
      <w:marBottom w:val="0"/>
      <w:divBdr>
        <w:top w:val="none" w:sz="0" w:space="0" w:color="auto"/>
        <w:left w:val="none" w:sz="0" w:space="0" w:color="auto"/>
        <w:bottom w:val="none" w:sz="0" w:space="0" w:color="auto"/>
        <w:right w:val="none" w:sz="0" w:space="0" w:color="auto"/>
      </w:divBdr>
    </w:div>
    <w:div w:id="1055469879">
      <w:bodyDiv w:val="1"/>
      <w:marLeft w:val="0"/>
      <w:marRight w:val="0"/>
      <w:marTop w:val="0"/>
      <w:marBottom w:val="0"/>
      <w:divBdr>
        <w:top w:val="none" w:sz="0" w:space="0" w:color="auto"/>
        <w:left w:val="none" w:sz="0" w:space="0" w:color="auto"/>
        <w:bottom w:val="none" w:sz="0" w:space="0" w:color="auto"/>
        <w:right w:val="none" w:sz="0" w:space="0" w:color="auto"/>
      </w:divBdr>
    </w:div>
    <w:div w:id="1283343946">
      <w:bodyDiv w:val="1"/>
      <w:marLeft w:val="0"/>
      <w:marRight w:val="0"/>
      <w:marTop w:val="0"/>
      <w:marBottom w:val="0"/>
      <w:divBdr>
        <w:top w:val="none" w:sz="0" w:space="0" w:color="auto"/>
        <w:left w:val="none" w:sz="0" w:space="0" w:color="auto"/>
        <w:bottom w:val="none" w:sz="0" w:space="0" w:color="auto"/>
        <w:right w:val="none" w:sz="0" w:space="0" w:color="auto"/>
      </w:divBdr>
    </w:div>
    <w:div w:id="1330717250">
      <w:bodyDiv w:val="1"/>
      <w:marLeft w:val="0"/>
      <w:marRight w:val="0"/>
      <w:marTop w:val="0"/>
      <w:marBottom w:val="0"/>
      <w:divBdr>
        <w:top w:val="none" w:sz="0" w:space="0" w:color="auto"/>
        <w:left w:val="none" w:sz="0" w:space="0" w:color="auto"/>
        <w:bottom w:val="none" w:sz="0" w:space="0" w:color="auto"/>
        <w:right w:val="none" w:sz="0" w:space="0" w:color="auto"/>
      </w:divBdr>
    </w:div>
    <w:div w:id="1512799138">
      <w:bodyDiv w:val="1"/>
      <w:marLeft w:val="0"/>
      <w:marRight w:val="0"/>
      <w:marTop w:val="0"/>
      <w:marBottom w:val="0"/>
      <w:divBdr>
        <w:top w:val="none" w:sz="0" w:space="0" w:color="auto"/>
        <w:left w:val="none" w:sz="0" w:space="0" w:color="auto"/>
        <w:bottom w:val="none" w:sz="0" w:space="0" w:color="auto"/>
        <w:right w:val="none" w:sz="0" w:space="0" w:color="auto"/>
      </w:divBdr>
    </w:div>
    <w:div w:id="1600286330">
      <w:bodyDiv w:val="1"/>
      <w:marLeft w:val="0"/>
      <w:marRight w:val="0"/>
      <w:marTop w:val="0"/>
      <w:marBottom w:val="0"/>
      <w:divBdr>
        <w:top w:val="none" w:sz="0" w:space="0" w:color="auto"/>
        <w:left w:val="none" w:sz="0" w:space="0" w:color="auto"/>
        <w:bottom w:val="none" w:sz="0" w:space="0" w:color="auto"/>
        <w:right w:val="none" w:sz="0" w:space="0" w:color="auto"/>
      </w:divBdr>
    </w:div>
    <w:div w:id="1696227480">
      <w:bodyDiv w:val="1"/>
      <w:marLeft w:val="0"/>
      <w:marRight w:val="0"/>
      <w:marTop w:val="0"/>
      <w:marBottom w:val="0"/>
      <w:divBdr>
        <w:top w:val="none" w:sz="0" w:space="0" w:color="auto"/>
        <w:left w:val="none" w:sz="0" w:space="0" w:color="auto"/>
        <w:bottom w:val="none" w:sz="0" w:space="0" w:color="auto"/>
        <w:right w:val="none" w:sz="0" w:space="0" w:color="auto"/>
      </w:divBdr>
    </w:div>
    <w:div w:id="1725451240">
      <w:bodyDiv w:val="1"/>
      <w:marLeft w:val="0"/>
      <w:marRight w:val="0"/>
      <w:marTop w:val="0"/>
      <w:marBottom w:val="0"/>
      <w:divBdr>
        <w:top w:val="none" w:sz="0" w:space="0" w:color="auto"/>
        <w:left w:val="none" w:sz="0" w:space="0" w:color="auto"/>
        <w:bottom w:val="none" w:sz="0" w:space="0" w:color="auto"/>
        <w:right w:val="none" w:sz="0" w:space="0" w:color="auto"/>
      </w:divBdr>
      <w:divsChild>
        <w:div w:id="244580625">
          <w:marLeft w:val="0"/>
          <w:marRight w:val="0"/>
          <w:marTop w:val="0"/>
          <w:marBottom w:val="0"/>
          <w:divBdr>
            <w:top w:val="none" w:sz="0" w:space="0" w:color="auto"/>
            <w:left w:val="none" w:sz="0" w:space="0" w:color="auto"/>
            <w:bottom w:val="none" w:sz="0" w:space="0" w:color="auto"/>
            <w:right w:val="none" w:sz="0" w:space="0" w:color="auto"/>
          </w:divBdr>
        </w:div>
        <w:div w:id="634218328">
          <w:marLeft w:val="0"/>
          <w:marRight w:val="0"/>
          <w:marTop w:val="0"/>
          <w:marBottom w:val="0"/>
          <w:divBdr>
            <w:top w:val="none" w:sz="0" w:space="0" w:color="auto"/>
            <w:left w:val="none" w:sz="0" w:space="0" w:color="auto"/>
            <w:bottom w:val="none" w:sz="0" w:space="0" w:color="auto"/>
            <w:right w:val="none" w:sz="0" w:space="0" w:color="auto"/>
          </w:divBdr>
        </w:div>
        <w:div w:id="1194804392">
          <w:marLeft w:val="0"/>
          <w:marRight w:val="0"/>
          <w:marTop w:val="0"/>
          <w:marBottom w:val="0"/>
          <w:divBdr>
            <w:top w:val="none" w:sz="0" w:space="0" w:color="auto"/>
            <w:left w:val="none" w:sz="0" w:space="0" w:color="auto"/>
            <w:bottom w:val="none" w:sz="0" w:space="0" w:color="auto"/>
            <w:right w:val="none" w:sz="0" w:space="0" w:color="auto"/>
          </w:divBdr>
        </w:div>
        <w:div w:id="1217280727">
          <w:marLeft w:val="0"/>
          <w:marRight w:val="0"/>
          <w:marTop w:val="0"/>
          <w:marBottom w:val="0"/>
          <w:divBdr>
            <w:top w:val="none" w:sz="0" w:space="0" w:color="auto"/>
            <w:left w:val="none" w:sz="0" w:space="0" w:color="auto"/>
            <w:bottom w:val="none" w:sz="0" w:space="0" w:color="auto"/>
            <w:right w:val="none" w:sz="0" w:space="0" w:color="auto"/>
          </w:divBdr>
        </w:div>
        <w:div w:id="1839537146">
          <w:marLeft w:val="0"/>
          <w:marRight w:val="0"/>
          <w:marTop w:val="0"/>
          <w:marBottom w:val="0"/>
          <w:divBdr>
            <w:top w:val="none" w:sz="0" w:space="0" w:color="auto"/>
            <w:left w:val="none" w:sz="0" w:space="0" w:color="auto"/>
            <w:bottom w:val="none" w:sz="0" w:space="0" w:color="auto"/>
            <w:right w:val="none" w:sz="0" w:space="0" w:color="auto"/>
          </w:divBdr>
        </w:div>
      </w:divsChild>
    </w:div>
    <w:div w:id="1737588209">
      <w:bodyDiv w:val="1"/>
      <w:marLeft w:val="0"/>
      <w:marRight w:val="0"/>
      <w:marTop w:val="0"/>
      <w:marBottom w:val="0"/>
      <w:divBdr>
        <w:top w:val="none" w:sz="0" w:space="0" w:color="auto"/>
        <w:left w:val="none" w:sz="0" w:space="0" w:color="auto"/>
        <w:bottom w:val="none" w:sz="0" w:space="0" w:color="auto"/>
        <w:right w:val="none" w:sz="0" w:space="0" w:color="auto"/>
      </w:divBdr>
    </w:div>
    <w:div w:id="1768959106">
      <w:bodyDiv w:val="1"/>
      <w:marLeft w:val="0"/>
      <w:marRight w:val="0"/>
      <w:marTop w:val="0"/>
      <w:marBottom w:val="0"/>
      <w:divBdr>
        <w:top w:val="none" w:sz="0" w:space="0" w:color="auto"/>
        <w:left w:val="none" w:sz="0" w:space="0" w:color="auto"/>
        <w:bottom w:val="none" w:sz="0" w:space="0" w:color="auto"/>
        <w:right w:val="none" w:sz="0" w:space="0" w:color="auto"/>
      </w:divBdr>
    </w:div>
    <w:div w:id="19362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ipcc-nggip.iges.or.jp/public/2006gl/" TargetMode="External"/><Relationship Id="rId3" Type="http://schemas.openxmlformats.org/officeDocument/2006/relationships/hyperlink" Target="https://eur-lex.europa.eu/legal-content/EN/TXT/?uri=CELEX%3A52023PC0728" TargetMode="External"/><Relationship Id="rId7" Type="http://schemas.openxmlformats.org/officeDocument/2006/relationships/hyperlink" Target="https://openknowledge.fao.org/server/api/core/bitstreams/a6e225da-4a31-4e06-818d-ca3aeadfd635/content" TargetMode="External"/><Relationship Id="rId2" Type="http://schemas.openxmlformats.org/officeDocument/2006/relationships/hyperlink" Target="https://eur-lex.europa.eu/legal-content/EN/TXT/?uri=CELEX%3A02018R1999-20231120&amp;qid=1735831630164" TargetMode="External"/><Relationship Id="rId1" Type="http://schemas.openxmlformats.org/officeDocument/2006/relationships/hyperlink" Target="https://eur-lex.europa.eu/legal-content/EN/TXT/?uri=CELEX%3A02018R0841-20230511" TargetMode="External"/><Relationship Id="rId6" Type="http://schemas.openxmlformats.org/officeDocument/2006/relationships/hyperlink" Target="https://www.ipcc-nggip.iges.or.jp/public/2006gl/" TargetMode="External"/><Relationship Id="rId5" Type="http://schemas.openxmlformats.org/officeDocument/2006/relationships/hyperlink" Target="https://eur-lex.europa.eu/legal-content/EN/TXT/?uri=CELEX:52023PC0416" TargetMode="External"/><Relationship Id="rId4" Type="http://schemas.openxmlformats.org/officeDocument/2006/relationships/hyperlink" Target="https://eur-lex.europa.eu/legal-content/EN/TXT/?uri=CELEX%3A32024R1991&amp;qid=1735831359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832B1B51507B458921563CBBBB60DE" ma:contentTypeVersion="0" ma:contentTypeDescription="Loo uus dokument" ma:contentTypeScope="" ma:versionID="1feeed50a0bb8efff75bca372a8d1dea">
  <xsd:schema xmlns:xsd="http://www.w3.org/2001/XMLSchema" xmlns:xs="http://www.w3.org/2001/XMLSchema" xmlns:p="http://schemas.microsoft.com/office/2006/metadata/properties" targetNamespace="http://schemas.microsoft.com/office/2006/metadata/properties" ma:root="true" ma:fieldsID="42bede5b5c9b86f145cef16abbd8c5d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75AC1-105C-4F62-93DF-DEC653AC4F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532176-C8AF-4D06-848A-7621111890E6}">
  <ds:schemaRefs>
    <ds:schemaRef ds:uri="http://schemas.microsoft.com/sharepoint/v3/contenttype/forms"/>
  </ds:schemaRefs>
</ds:datastoreItem>
</file>

<file path=customXml/itemProps3.xml><?xml version="1.0" encoding="utf-8"?>
<ds:datastoreItem xmlns:ds="http://schemas.openxmlformats.org/officeDocument/2006/customXml" ds:itemID="{8970A2A8-B89E-48FA-AC44-778F64489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34AAAF-E01E-4363-8891-E2C7C651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3193</Words>
  <Characters>18520</Characters>
  <Application>Microsoft Office Word</Application>
  <DocSecurity>0</DocSecurity>
  <Lines>154</Lines>
  <Paragraphs>43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Lisa 4. RITA tegevus 1 lähteülesande vorm</vt:lpstr>
      <vt:lpstr>Lisa 4. RITA tegevus 1 lähteülesande vorm</vt:lpstr>
    </vt:vector>
  </TitlesOfParts>
  <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4. RITA tegevus 1 lähteülesande vorm</dc:title>
  <dc:subject/>
  <dc:creator>Liina Eek</dc:creator>
  <cp:keywords/>
  <dc:description/>
  <cp:lastModifiedBy>Astrid Liira</cp:lastModifiedBy>
  <cp:revision>4</cp:revision>
  <cp:lastPrinted>2015-06-30T11:24:00Z</cp:lastPrinted>
  <dcterms:created xsi:type="dcterms:W3CDTF">2025-01-24T22:13:00Z</dcterms:created>
  <dcterms:modified xsi:type="dcterms:W3CDTF">2025-01-27T08:04:00Z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0x01010029832B1B51507B458921563CBBBB60DE</vt:lpwstr>
  </property>
</Properties>
</file>